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977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97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Утверждена</w:t>
      </w:r>
    </w:p>
    <w:p w:rsidR="00000000" w:rsidDel="00000000" w:rsidP="00000000" w:rsidRDefault="00000000" w:rsidRPr="00000000" w14:paraId="00000003">
      <w:pPr>
        <w:ind w:left="597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Приказом Генерального директора</w:t>
      </w:r>
    </w:p>
    <w:p w:rsidR="00000000" w:rsidDel="00000000" w:rsidP="00000000" w:rsidRDefault="00000000" w:rsidRPr="00000000" w14:paraId="00000004">
      <w:pPr>
        <w:ind w:left="597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Общества с ограниченной ответственностью «РУ-ВЕБ. ИНВЕСТИЦИИ» </w:t>
      </w:r>
    </w:p>
    <w:p w:rsidR="00000000" w:rsidDel="00000000" w:rsidP="00000000" w:rsidRDefault="00000000" w:rsidRPr="00000000" w14:paraId="00000005">
      <w:pPr>
        <w:ind w:left="597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21 декабря 2021 г.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Коммерческая политика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Общества с ограниченной ответственностью «РУ-ВЕБ. ИНВЕСТИЦИИ» и его дочерних хозяйственных обществ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в части услуг регистрации и продления регистрации доменных имен второго уровня в доменах верхнего уровня .RU, .SU, .РФ. в сети «Интернет»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Москва, 2021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ОГЛАВЛЕНИЕ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pos="-854"/>
              <w:tab w:val="right" w:pos="9345"/>
            </w:tabs>
            <w:spacing w:after="100" w:line="480" w:lineRule="auto"/>
            <w:ind w:left="-168" w:hanging="686"/>
            <w:jc w:val="both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fldChar w:fldCharType="begin"/>
            <w:instrText xml:space="preserve"> HYPERLINK \l "_heading=h.2et92p0"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1.</w:t>
            <w:tab/>
            <w:t xml:space="preserve">ОБЩИЕ ПОЛОЖЕНИЯ</w:t>
            <w:tab/>
            <w:t xml:space="preserve">3</w:t>
          </w:r>
        </w:p>
        <w:p w:rsidR="00000000" w:rsidDel="00000000" w:rsidP="00000000" w:rsidRDefault="00000000" w:rsidRPr="00000000" w14:paraId="0000001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pos="-854"/>
              <w:tab w:val="right" w:pos="9345"/>
            </w:tabs>
            <w:spacing w:after="100" w:line="480" w:lineRule="auto"/>
            <w:ind w:left="-168" w:hanging="686"/>
            <w:jc w:val="both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fldChar w:fldCharType="end"/>
          </w:r>
          <w:r w:rsidDel="00000000" w:rsidR="00000000" w:rsidRPr="00000000">
            <w:fldChar w:fldCharType="begin"/>
            <w:instrText xml:space="preserve"> HYPERLINK \l "_heading=h.tyjcwt"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2.</w:t>
            <w:tab/>
            <w:t xml:space="preserve">ТЕРМИНЫ И ОПРЕДЕЛЕНИЯ</w:t>
            <w:tab/>
            <w:t xml:space="preserve">3</w:t>
          </w:r>
        </w:p>
        <w:p w:rsidR="00000000" w:rsidDel="00000000" w:rsidP="00000000" w:rsidRDefault="00000000" w:rsidRPr="00000000" w14:paraId="0000001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pos="-854"/>
              <w:tab w:val="right" w:pos="9345"/>
            </w:tabs>
            <w:spacing w:after="100" w:line="480" w:lineRule="auto"/>
            <w:ind w:left="-168" w:hanging="686"/>
            <w:jc w:val="both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fldChar w:fldCharType="end"/>
          </w:r>
          <w:r w:rsidDel="00000000" w:rsidR="00000000" w:rsidRPr="00000000">
            <w:fldChar w:fldCharType="begin"/>
            <w:instrText xml:space="preserve"> HYPERLINK \l "_heading=h.1fob9te"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3.</w:t>
            <w:tab/>
            <w:t xml:space="preserve">УСЛОВИЯ ОКАЗАНИЯ УСЛУГ</w:t>
            <w:tab/>
            <w:t xml:space="preserve">5</w:t>
          </w:r>
        </w:p>
        <w:p w:rsidR="00000000" w:rsidDel="00000000" w:rsidP="00000000" w:rsidRDefault="00000000" w:rsidRPr="00000000" w14:paraId="0000001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pos="-854"/>
              <w:tab w:val="right" w:pos="9345"/>
            </w:tabs>
            <w:spacing w:after="100" w:line="480" w:lineRule="auto"/>
            <w:ind w:left="-168" w:hanging="686"/>
            <w:jc w:val="both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fldChar w:fldCharType="end"/>
          </w:r>
          <w:r w:rsidDel="00000000" w:rsidR="00000000" w:rsidRPr="00000000">
            <w:fldChar w:fldCharType="begin"/>
            <w:instrText xml:space="preserve"> HYPERLINK \l "_heading=h.3rdcrjn"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4.</w:t>
            <w:tab/>
            <w:t xml:space="preserve">ПРИНЦИПЫ ТАРИФООБРАЗОВАНИЯ</w:t>
            <w:tab/>
            <w:t xml:space="preserve">5</w:t>
          </w:r>
        </w:p>
        <w:p w:rsidR="00000000" w:rsidDel="00000000" w:rsidP="00000000" w:rsidRDefault="00000000" w:rsidRPr="00000000" w14:paraId="0000001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pos="-854"/>
              <w:tab w:val="right" w:pos="9345"/>
            </w:tabs>
            <w:spacing w:after="100" w:line="480" w:lineRule="auto"/>
            <w:ind w:left="-168" w:hanging="686"/>
            <w:jc w:val="both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fldChar w:fldCharType="end"/>
          </w:r>
          <w:r w:rsidDel="00000000" w:rsidR="00000000" w:rsidRPr="00000000">
            <w:fldChar w:fldCharType="begin"/>
            <w:instrText xml:space="preserve"> HYPERLINK \l "_heading=h.lnxbz9"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5.</w:t>
            <w:tab/>
            <w:t xml:space="preserve">ЗАКЛЮЧИТЕЛЬНЫЕ ПОЛОЖЕНИЯ</w:t>
            <w:tab/>
            <w:t xml:space="preserve">7</w:t>
          </w:r>
        </w:p>
        <w:p w:rsidR="00000000" w:rsidDel="00000000" w:rsidP="00000000" w:rsidRDefault="00000000" w:rsidRPr="00000000" w14:paraId="0000001A">
          <w:pPr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hanging="691"/>
        <w:jc w:val="both"/>
        <w:rPr>
          <w:rFonts w:ascii="Times New Roman" w:cs="Times New Roman" w:eastAsia="Times New Roman" w:hAnsi="Times New Roman"/>
          <w:b w:val="1"/>
          <w:smallCaps w:val="1"/>
          <w:color w:val="000000"/>
        </w:rPr>
      </w:pPr>
      <w:bookmarkStart w:colFirst="0" w:colLast="0" w:name="_heading=h.2et92p0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rtl w:val="0"/>
        </w:rPr>
        <w:t xml:space="preserve">ОБЩИЕ ПОЛОЖЕНИЯ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Настоящая коммерческая политика (далее – «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Политика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») устанавливает принципы, способы и условия оказания услуг регистрации и продления регистрации доменных имен второго уровня в доменах верхнего уровня .RU, .SU, .РФ. в сети «Интернет» дочерними хозяйственными обществами Общества с ограниченной ответственностью «РУВЕБ.ИНВЕСТИЦИИ».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Целями и принципами Политики являются: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обеспечение соблюдения норм российского Антимонопольного законодательства;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обеспечение равного и недискриминационного отношения ко всем Клиентам и Партнерам;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обеспечение соблюдения высоких стандартов деловой и профессиональной этики;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обеспечение максимально эффективного взаимодействия с Партнерами и Клиентами;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обеспечение бесперебойности и своевременности оказания услуг.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Настоящая Политика направлена на предупреждение: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навязывания Клиентам товаров (работ, услуг) путем обязывания приобретения одних товаров (работ, услуг) при приобретении иных товаров (работ, услуг);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навязывания Партнерам условий Партнерского договора, невыгодных для них или не относящихся к предмету Партнерского договора;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создания препятствий для Клиентов, желающих отказаться от Услуг и/или сменить Регистратора;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экономически, технологически или иным образом не обоснованного установления Тарифов;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создания препятствий для доступа на товарный рынок Услуг другим хозяйствующим субъектам.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Настоящая Политика разработана с учетом требований действующего законодательства Российской Федерации. В случае если отдельные положения настоящей Политики вступят в противоречие с действующим законодательством, подлежит применению действующее законодательство.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Условия настоящей Политики распространяются на всех действующих и потенциальных Клиентов и Партнеров, и направлены на обеспечение равных возможностей для них в сопоставимых условиях.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keepLines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hanging="691"/>
        <w:jc w:val="both"/>
        <w:rPr>
          <w:rFonts w:ascii="Times New Roman" w:cs="Times New Roman" w:eastAsia="Times New Roman" w:hAnsi="Times New Roman"/>
          <w:b w:val="1"/>
          <w:smallCaps w:val="1"/>
          <w:color w:val="000000"/>
        </w:rPr>
      </w:pPr>
      <w:bookmarkStart w:colFirst="0" w:colLast="0" w:name="_heading=h.tyjcwt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rtl w:val="0"/>
        </w:rPr>
        <w:t xml:space="preserve">ТЕРМИНЫ И ОПРЕДЕЛЕНИЯ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«Антимонопольное законодательство»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система нормативно-правовых актов, состоящая из Федерального закона от 26.07.2006 г. № 135-ФЗ «О защите конкуренции» (далее – «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Закон о защите конкуренции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»), иных федеральных законов, постановлений Правительства Российской Федерации, нормативно-правовых актов Федеральной антимонопольной службы, регулирующих отношения, связанные с защитой конкуренции, предупреждением и пресечением монополистической деятельности и недобросовестной конкуренции, включая международные соглашения РФ.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Бонус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 – условная единица, используемая в рамках бонусной программы Общества, учитываемая на бонусном счете Клиента. Бонусы могут быть списаны в счет оплаты Услуг.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«Договор об оказании услуг»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типовой публичный договор между Обществом и Клиентом в отношении оказания Услуг.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«Домен»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доменное имя второго уровня в сети «Интернет», регистрируемое в национальной доменной зоне верхнего уровня .RU, .SU, .РФ.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«Тариф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 – ставка или система ставок оплаты за Услуги, предоставляемые Обществом, на основании которых определяется Розничный тариф на Услугу по Договору об оказании услуг.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«Клиент»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физическое или юридическое лицо, лицо, обладающее статусом индивидуального предпринимателя, заключившее с Обществом Договор об оказании услуг.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«Клубная программа»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форма сотрудничества Общества и Клиента/Партнера, при которой Общество предоставляет Клиенту/Партнеру возможность приобретать Услуги по Тарифу категории статуса, установленному для Клиентов/Партнеров, оплативших соответствующий Статус.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Бонусная программа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 — форма сотрудничества Общества и Клиента/Партнера, в рамках которой Клиент/Партнер (Участник Бонусной программы) с помощью распространения уникальных ссылок (реферальная ссылка) осуществляет привлечение новых Клиентов, при этом Участник Бонусной программы, привлекший Клиента, получает процент от стоимости заказанных привлеченным Клиентом Услуг. </w:t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«Маркетинговая акция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 – мероприятия, направленные на привлечение новых Клиентов, продвижение продуктов Общества, и иные подобные мероприятия, направленные на стимулирование спроса на Услуги.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«Партнер» (также «Реселлер»)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физическое или юридическое лицо, лицо, обладающее статусом индивидуального предпринимателя, осуществляющее сбор заявок на оказание Услуг на основании Партнерского договора.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Партнерский договор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 – типовой публичный договор между Обществом и Партнером, на основании которого Партнер осуществляет сбор заявок на оказание Услуг и передает их Регистратору с использованием технических средств Общества.</w:t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Регистратор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 – юридическое лицо, аккредитованное администратором национальной доменной зоны верхнего уровня .RU, .РФ и/или .SU и оказывающее Услуги.</w:t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«Розничный тариф»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тариф на Услуги по Договору об оказании услуг с учетом применимых Скидок и Бонусов.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Скидка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 – снижение размера Тарифа, которое вправе осуществить Общество при определенных условиях, предусмотренных настоящей Политикой.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«Услуга «Статус» («Статус»)»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услуга, заключающаяся в предоставлении Клиенту/Партнеру возможности участия в Клубной программе Регистратора, в результате оказания которой Клиенту/Партнеру предоставляется возможность приобретать Услуги по тарифам, установленным для лиц, оплативших соответствующий Статус.</w:t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«Услуги»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регистрация, продление регистрации доменных имен второго уровня в доменах верхнего уровня .RU, .SU, .РФ в сети «Интернет».</w:t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«Общество»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каждое из обществ, которое является Регистратором и оказывает Услуги, входящее в одну группу лиц с ООО «РУ-ВЕБ.ИНВЕСТИЦИИ», а именно: ООО «Ру-Центр Групп», ООО «Регистратор доменных имен РЕГ.РУ», а также иные общества, контролируемые ООО «Ру-Центр Групп» и ООО «Регистратор доменных имен РЕГ.РУ». 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1"/>
        <w:keepLines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hanging="691"/>
        <w:jc w:val="both"/>
        <w:rPr>
          <w:rFonts w:ascii="Times New Roman" w:cs="Times New Roman" w:eastAsia="Times New Roman" w:hAnsi="Times New Roman"/>
          <w:b w:val="1"/>
          <w:smallCaps w:val="1"/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rtl w:val="0"/>
        </w:rPr>
        <w:t xml:space="preserve">УСЛОВИЯ ОКАЗАНИЯ УСЛУГ</w:t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9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Общество оказывает Услуги на основании публичных Договоров об оказании услуг, тексты которых размещены на официальном сайте Общества в сети «Интернет».</w:t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9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Условия публичного Договора об оказании услуг, определяющие порядок оказания Услуг Клиентам, разрабатываются Обществом с учетом положений действующего законодательства, настоящей Политики, а также обязательных к применению политик, правил, регламентов и иных положений, включая принятые ООО «РУ-ВЕБ.ИНВЕСТИЦИИ» Условия регистрации и продления регистрации доменных имен второго уровня, Условия переноса (трансфера) доменных имен к иному регистратору и Условия для партнеров и реселлеров в части условий перепродажи услуг регистраторов.</w:t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9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Оказание Услуг является основным видом хозяйственной деятельности Общества. Навязывание Клиентам иных товаров (работ, услуг), не относящихся к Услугам, не допускается. 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9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Деятельность Общества по оказанию Услуг осуществляется на основании единых принципов, закрепленных в настоящей Политике; ООО «РУ-ВЕБ. ИНВЕСТИЦИИ» осуществляет постоянный контроль за соблюдением данных требований в процессе деятельности Общества.</w:t>
      </w:r>
    </w:p>
    <w:p w:rsidR="00000000" w:rsidDel="00000000" w:rsidP="00000000" w:rsidRDefault="00000000" w:rsidRPr="00000000" w14:paraId="00000062">
      <w:pPr>
        <w:widowControl w:val="0"/>
        <w:shd w:fill="ffffff" w:val="clear"/>
        <w:tabs>
          <w:tab w:val="left" w:pos="72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heading=h.17dp8vu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</w:t>
      </w:r>
    </w:p>
    <w:p w:rsidR="00000000" w:rsidDel="00000000" w:rsidP="00000000" w:rsidRDefault="00000000" w:rsidRPr="00000000" w14:paraId="00000063">
      <w:pPr>
        <w:keepNext w:val="1"/>
        <w:keepLines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hanging="691"/>
        <w:jc w:val="both"/>
        <w:rPr>
          <w:rFonts w:ascii="Times New Roman" w:cs="Times New Roman" w:eastAsia="Times New Roman" w:hAnsi="Times New Roman"/>
          <w:b w:val="1"/>
          <w:smallCaps w:val="1"/>
          <w:color w:val="000000"/>
        </w:rPr>
      </w:pPr>
      <w:bookmarkStart w:colFirst="0" w:colLast="0" w:name="_heading=h.3rdcrjn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rtl w:val="0"/>
        </w:rPr>
        <w:t xml:space="preserve">ПРИНЦИПЫ ТАРИФООБРАЗОВАНИЯ</w:t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hanging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</w:t>
        <w:tab/>
        <w:t xml:space="preserve">Параметры Тарифов на Услуги определяются в следующем порядке:</w:t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hanging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4.1.1.</w:t>
        <w:tab/>
        <w:t xml:space="preserve">Отдел бизнес-анализа департамента маркетинга Общества (либо при его отсутствии в Обществе – должностное лицо, определяемое приказом единоличного исполнительного органа Общества) производит периодическую оценку текущего состояния рынка оказания Услуг, включая анализ рыночных тенденций, а также оценивает собственные финансовые показатели, связанные с реализацией Услуг Клиентам (динамику финансовых показателей, динамику уровня востребованности Услуг, динамику уровня востребованности иных сопутствующих Услугам продуктов Регистратора, а также соотношение данных показателей и/или их составных частей). При необходимости для подготовки и анализа соответствующей информации ответственное подразделение (должностное лицо) привлекает ресурсы других структурных подразделений Общества и/или ООО «РУ-ВЕБ.ИНВЕСТИЦИИ».</w:t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hanging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hanging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4.1.2.</w:t>
        <w:tab/>
        <w:t xml:space="preserve">В случае выявления факторов, позволяющих судить о целесообразности внесения изменений в действующие Тарифы с учетом величины необходимых затрат и актуальных рыночных обстоятельств, ответственное подразделение (должностное лицо) выносит предложение об изменении Тарифов, проведении, изменении условий либо прекращении действия Маркетинговых акций, применении Скидок, изменении характеристик Клубной программы, изменении характеристик Бонусной программы и/или иных характеристик оказания Услуг. </w:t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hanging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hanging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4.1.3.</w:t>
        <w:tab/>
        <w:t xml:space="preserve">Юридический департамент и финансово-экономические подразделения Общества осуществляют проверку предложений, вынесенных ответственным подразделением (должностным лицом) в форме проектов изменений в действующие Тарифы (Скидки, Маркетинговые акции, Клубную программу, Бонусную программу), на предмет соответствия действующему законодательству и иным положениям, указанным п. 3.2. настоящей Политики, при необходимости производят корректировку условий данных проектов и выносят решение о возможности реализации соответствующего проекта в пределах своей профессиональной компетенции.</w:t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hanging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hanging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4.1.4.</w:t>
        <w:tab/>
        <w:t xml:space="preserve">В случае принятия положительного решения со стороны вышеуказанных структурных подразделений Общества, проект изменений в действующие Тарифы (Скидки, Маркетинговые акции, Клубную программу, Бонусную программу) утверждается приказом единоличного исполнительного органа Общества либо должностного лица, обладающего соответствующими полномочиями.</w:t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hanging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hanging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4.1.5.</w:t>
        <w:tab/>
        <w:t xml:space="preserve">Информация об изменении Тарифов (Скидок, Маркетинговых акций, Клубной программы, Бонусной программы) доводится до Клиентов в порядке, предусмотренном типовым Договором об оказании услуг, – а именно путем публикации соответствующих документов на официальном сайте Общества с указанием перечня вносимых изменений и указанием даты их вступления в силу, а также путем направления Клиентам уведомлений о внесении изменений в соответствующие документы со ссылкой на публикацию на официальном сайте Общества способом, который был выбран Клиентом для получения уведомлений от Регистратора. Внесение изменений в Тарифы без предварительного уведомления (в указанных выше формах) и/или без представления Клиентам возможности заблаговременно ознакомиться с вносимыми изменениями не допускается.</w:t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hanging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14" w:hanging="708"/>
        <w:jc w:val="both"/>
        <w:rPr>
          <w:rFonts w:ascii="Times New Roman" w:cs="Times New Roman" w:eastAsia="Times New Roman" w:hAnsi="Times New Roman"/>
        </w:rPr>
      </w:pPr>
      <w:bookmarkStart w:colFirst="0" w:colLast="0" w:name="_heading=h.26in1rg" w:id="5"/>
      <w:bookmarkEnd w:id="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</w:t>
        <w:tab/>
        <w:t xml:space="preserve">Тарифы публикуются Обществом на веб-сайтах по адресу:</w:t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14" w:hanging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    </w:t>
      </w:r>
    </w:p>
    <w:tbl>
      <w:tblPr>
        <w:tblStyle w:val="Table1"/>
        <w:tblW w:w="8610.0" w:type="dxa"/>
        <w:jc w:val="left"/>
        <w:tblInd w:w="81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65"/>
        <w:gridCol w:w="5445"/>
        <w:tblGridChange w:id="0">
          <w:tblGrid>
            <w:gridCol w:w="3165"/>
            <w:gridCol w:w="54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Общества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Ссылка на страницу в сети Интернет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АО «РСИЦ»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https://www.nic.ru/help/tarify-na-uslugi-600/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ООО «Регистратор Р01»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https://r01.ru/domain/pay/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hd w:fill="ffffff" w:val="clear"/>
              <w:tabs>
                <w:tab w:val="left" w:pos="720"/>
              </w:tabs>
              <w:spacing w:after="0" w:line="240" w:lineRule="auto"/>
              <w:ind w:left="714" w:hanging="70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ООО «СпейсВэб»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https://spacewebdomains.ru/contract/ (Приложение №1 «Тарифы на услуги» в составе Договора об оказании услуг).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hd w:fill="ffffff" w:val="clear"/>
              <w:tabs>
                <w:tab w:val="left" w:pos="720"/>
              </w:tabs>
              <w:spacing w:after="0" w:line="240" w:lineRule="auto"/>
              <w:ind w:left="6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ООО «Регистратор доменных имен РЕГ.РУ»</w:t>
            </w:r>
          </w:p>
          <w:p w:rsidR="00000000" w:rsidDel="00000000" w:rsidP="00000000" w:rsidRDefault="00000000" w:rsidRPr="00000000" w14:paraId="0000007C">
            <w:pPr>
              <w:widowControl w:val="0"/>
              <w:shd w:fill="ffffff" w:val="clear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25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https://www.reg.ru/company/prices/#expanders=domain,cis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hd w:fill="ffffff" w:val="clear"/>
              <w:tabs>
                <w:tab w:val="left" w:pos="720"/>
              </w:tabs>
              <w:spacing w:after="0" w:line="240" w:lineRule="auto"/>
              <w:ind w:left="6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ООО «РЕГ.РУ Домены</w:t>
            </w:r>
          </w:p>
          <w:p w:rsidR="00000000" w:rsidDel="00000000" w:rsidP="00000000" w:rsidRDefault="00000000" w:rsidRPr="00000000" w14:paraId="0000007F">
            <w:pPr>
              <w:widowControl w:val="0"/>
              <w:shd w:fill="ffffff" w:val="clear"/>
              <w:tabs>
                <w:tab w:val="left" w:pos="720"/>
              </w:tabs>
              <w:spacing w:after="0" w:line="240" w:lineRule="auto"/>
              <w:ind w:left="6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Хостинг»</w:t>
            </w:r>
          </w:p>
          <w:p w:rsidR="00000000" w:rsidDel="00000000" w:rsidP="00000000" w:rsidRDefault="00000000" w:rsidRPr="00000000" w14:paraId="00000080">
            <w:pPr>
              <w:widowControl w:val="0"/>
              <w:shd w:fill="ffffff" w:val="clear"/>
              <w:tabs>
                <w:tab w:val="left" w:pos="720"/>
              </w:tabs>
              <w:spacing w:after="0" w:line="240" w:lineRule="auto"/>
              <w:ind w:left="6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http://www.regplanet.ru/price/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hd w:fill="ffffff" w:val="clear"/>
              <w:tabs>
                <w:tab w:val="left" w:pos="720"/>
              </w:tabs>
              <w:spacing w:after="0" w:line="240" w:lineRule="auto"/>
              <w:ind w:left="6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ООО «Специальный</w:t>
            </w:r>
          </w:p>
          <w:p w:rsidR="00000000" w:rsidDel="00000000" w:rsidP="00000000" w:rsidRDefault="00000000" w:rsidRPr="00000000" w14:paraId="00000083">
            <w:pPr>
              <w:widowControl w:val="0"/>
              <w:shd w:fill="ffffff" w:val="clear"/>
              <w:tabs>
                <w:tab w:val="left" w:pos="720"/>
              </w:tabs>
              <w:spacing w:after="0" w:line="240" w:lineRule="auto"/>
              <w:ind w:left="6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регистратор доменных</w:t>
            </w:r>
          </w:p>
          <w:p w:rsidR="00000000" w:rsidDel="00000000" w:rsidP="00000000" w:rsidRDefault="00000000" w:rsidRPr="00000000" w14:paraId="00000084">
            <w:pPr>
              <w:widowControl w:val="0"/>
              <w:shd w:fill="ffffff" w:val="clear"/>
              <w:tabs>
                <w:tab w:val="left" w:pos="720"/>
              </w:tabs>
              <w:spacing w:after="0" w:line="240" w:lineRule="auto"/>
              <w:ind w:left="6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имен и почтовых</w:t>
            </w:r>
          </w:p>
          <w:p w:rsidR="00000000" w:rsidDel="00000000" w:rsidP="00000000" w:rsidRDefault="00000000" w:rsidRPr="00000000" w14:paraId="00000085">
            <w:pPr>
              <w:widowControl w:val="0"/>
              <w:shd w:fill="ffffff" w:val="clear"/>
              <w:tabs>
                <w:tab w:val="left" w:pos="720"/>
              </w:tabs>
              <w:spacing w:after="0" w:line="240" w:lineRule="auto"/>
              <w:ind w:left="6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сервисов»</w:t>
            </w:r>
          </w:p>
          <w:p w:rsidR="00000000" w:rsidDel="00000000" w:rsidP="00000000" w:rsidRDefault="00000000" w:rsidRPr="00000000" w14:paraId="00000086">
            <w:pPr>
              <w:widowControl w:val="0"/>
              <w:shd w:fill="ffffff" w:val="clear"/>
              <w:tabs>
                <w:tab w:val="left" w:pos="720"/>
              </w:tabs>
              <w:spacing w:after="0" w:line="240" w:lineRule="auto"/>
              <w:ind w:left="6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http://personal-n.ru/docs/registrar/Price-ru-rf-20102020.rtf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hd w:fill="ffffff" w:val="clear"/>
              <w:tabs>
                <w:tab w:val="left" w:pos="720"/>
              </w:tabs>
              <w:spacing w:after="0" w:line="240" w:lineRule="auto"/>
              <w:ind w:left="6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ООО «2домейнс.ру»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https://2domains.ru/support/pricing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hd w:fill="ffffff" w:val="clear"/>
              <w:tabs>
                <w:tab w:val="left" w:pos="720"/>
              </w:tabs>
              <w:spacing w:after="0" w:line="240" w:lineRule="auto"/>
              <w:ind w:left="6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ООО «Бестрег»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https://www.bestreg24.ru/price/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hd w:fill="ffffff" w:val="clear"/>
              <w:tabs>
                <w:tab w:val="left" w:pos="720"/>
              </w:tabs>
              <w:spacing w:after="0" w:line="240" w:lineRule="auto"/>
              <w:ind w:left="6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ООО «Бигрег»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https://www.bigreg24.ru/price/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hd w:fill="ffffff" w:val="clear"/>
              <w:tabs>
                <w:tab w:val="left" w:pos="720"/>
              </w:tabs>
              <w:spacing w:after="0" w:line="240" w:lineRule="auto"/>
              <w:ind w:left="6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ООО «Вебрег»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https://www.webreg24.ru/price/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hd w:fill="ffffff" w:val="clear"/>
              <w:tabs>
                <w:tab w:val="left" w:pos="720"/>
              </w:tabs>
              <w:spacing w:after="0" w:line="240" w:lineRule="auto"/>
              <w:ind w:left="6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ООО «Доменхост»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https://www.regdomainhost.ru/price/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hd w:fill="ffffff" w:val="clear"/>
              <w:tabs>
                <w:tab w:val="left" w:pos="720"/>
              </w:tabs>
              <w:spacing w:after="0" w:line="240" w:lineRule="auto"/>
              <w:ind w:left="6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ООО «Кликрег»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https://www.clickreg.ru/price/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hd w:fill="ffffff" w:val="clear"/>
              <w:tabs>
                <w:tab w:val="left" w:pos="720"/>
              </w:tabs>
              <w:spacing w:after="0" w:line="240" w:lineRule="auto"/>
              <w:ind w:left="6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ООО «Опенрег»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https://www.open-reg.ru/price/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hd w:fill="ffffff" w:val="clear"/>
              <w:tabs>
                <w:tab w:val="left" w:pos="720"/>
              </w:tabs>
              <w:spacing w:after="0" w:line="240" w:lineRule="auto"/>
              <w:ind w:left="6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ООО «Примахост»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https://www.prima-host.ru/price/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hd w:fill="ffffff" w:val="clear"/>
              <w:tabs>
                <w:tab w:val="left" w:pos="720"/>
              </w:tabs>
              <w:spacing w:after="0" w:line="240" w:lineRule="auto"/>
              <w:ind w:left="6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ООО «Телехост»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https://www.telehost24.ru/price/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hd w:fill="ffffff" w:val="clear"/>
              <w:tabs>
                <w:tab w:val="left" w:pos="720"/>
              </w:tabs>
              <w:spacing w:after="0" w:line="240" w:lineRule="auto"/>
              <w:ind w:left="6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ООО «Доменсервис»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https://www.domenservice.ru/price/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hd w:fill="ffffff" w:val="clear"/>
              <w:tabs>
                <w:tab w:val="left" w:pos="720"/>
              </w:tabs>
              <w:spacing w:after="0" w:line="240" w:lineRule="auto"/>
              <w:ind w:left="6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ООО «Телеборд»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https://www.telebord24.ru/price/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hd w:fill="ffffff" w:val="clear"/>
              <w:tabs>
                <w:tab w:val="left" w:pos="720"/>
              </w:tabs>
              <w:spacing w:after="0" w:line="240" w:lineRule="auto"/>
              <w:ind w:left="6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ООО «Топдомен»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https://www.topdomenreg24.ru/price/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hanging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4.3. </w:t>
        <w:tab/>
        <w:t xml:space="preserve">Общество может предоставлять Клиентам Скидки и Бонусы, которые применяются к Тарифу. Размеры и условия предоставления Скидок и Бонусов определяются в локальном нормативном акте, утвержденном и изменяемом в порядке, предусмотренном п. 4.1. настоящей Политики.</w:t>
      </w:r>
    </w:p>
    <w:p w:rsidR="00000000" w:rsidDel="00000000" w:rsidP="00000000" w:rsidRDefault="00000000" w:rsidRPr="00000000" w14:paraId="000000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hanging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4.4. </w:t>
        <w:tab/>
        <w:t xml:space="preserve">Скидки и Бонусы предоставляются Клиентам на недискриминационной основе при условии выполнения ими соответствующих критериев, предусмотренных для соответствующих Скидок и Бонусов, и применяются на единообразной основе для Клиентов, в отношении которых выполняются критерии, предусмотренные п. 4.5. настоящей Политики.</w:t>
      </w:r>
    </w:p>
    <w:p w:rsidR="00000000" w:rsidDel="00000000" w:rsidP="00000000" w:rsidRDefault="00000000" w:rsidRPr="00000000" w14:paraId="000000A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hanging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4.5. </w:t>
        <w:tab/>
        <w:t xml:space="preserve">На момент утверждения настоящей Политики критериями для предоставления Скидок и Бонусов могут являться:</w:t>
      </w:r>
    </w:p>
    <w:p w:rsidR="00000000" w:rsidDel="00000000" w:rsidP="00000000" w:rsidRDefault="00000000" w:rsidRPr="00000000" w14:paraId="000000A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долгосрочность отношений с Регистратором;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переход на сайт Регистратора и совершение целевого действия из соответствующего рекламного канала / сайта в сети «Интернет»;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совершение целевых действий с анкетой Клиента (полнота и точность заполнения данных, настройка дополнительных способов защиты данных и доступа к управлению анкетой / услугами и др.);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совершение целевых действий с доменным именем (выставление права администрирования доменного имени на продажу через «Магазин доменов», подключение дополнительных сервисов и опций, связанных с доменным именем);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участие в текущих Маркетинговых акциях по стимулированию регистрации и продления доменных имен (регулярные рекламные активности, программа кэш-бека, продление доменного имени до окончания срока регистрации и в период преимущественного продления);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приобретение дополнительных услуг и сервисов у Регистратора (которое всегда осуществляется Клиентом на добровольной основе);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написание и размещение отзывов о работе Регистратора в сети «Интернет»;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Статус Клиента в Клубной программе;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количество доменных имен, находящихся на обслуживании у Регистратора;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количество и сумма транзакций за предыдущий или текущий календарный периоды;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количество Клиентов и/или сумма платежей Клиентов, которые перешли на обслуживание к Регистратору по рекомендации Клиента/Партнера (Реферальная программа);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внешние стимулирующие факторы (такие как проведение акций организациями-администраторами реестров доменов верхнего уровня, государственные праздники, дни, приуроченные к значимым событиям и датам и т.д.).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hanging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4.6.</w:t>
        <w:tab/>
        <w:t xml:space="preserve">Клиентам могут предоставляться Скидки и Бонусы в соответствии с иными критериями, которые должны быть недискриминационными, выполнимыми и применяться единообразно. Соответствующие критерии закрепляются в приказе о проведении той или иной Маркетинговой акции.</w:t>
      </w:r>
    </w:p>
    <w:p w:rsidR="00000000" w:rsidDel="00000000" w:rsidP="00000000" w:rsidRDefault="00000000" w:rsidRPr="00000000" w14:paraId="000000B4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hanging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4.7. </w:t>
        <w:tab/>
        <w:t xml:space="preserve">Тарифы на услуги регистрации и продления регистрации доменных имен второго уровня в зонах .RU, .SU, .РФ могут быть увеличены не более чем на величину индекса роста потребительских цен (базовый сценарий) за календарный год. В случае повышения тарифов на описанные услуги на большую величину, данное повышение должно быть согласовано с ФАС России с предоставлением экономического или иного обоснования не менее чем за 30 (тридцать) дней до планируемого изменения.</w:t>
      </w:r>
    </w:p>
    <w:p w:rsidR="00000000" w:rsidDel="00000000" w:rsidP="00000000" w:rsidRDefault="00000000" w:rsidRPr="00000000" w14:paraId="000000B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hanging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4.8.</w:t>
        <w:tab/>
        <w:t xml:space="preserve">Целью проведения Маркетинговой акции могут являться:</w:t>
      </w:r>
    </w:p>
    <w:p w:rsidR="00000000" w:rsidDel="00000000" w:rsidP="00000000" w:rsidRDefault="00000000" w:rsidRPr="00000000" w14:paraId="000000B8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108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Привлечение новых клиентов, расширение целевой аудитории;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Увеличение числа новых клиентов;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Стимулирование постоянных клиентов на совершение нового заказа;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Увеличение интереса к новому товару или новой услуге;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Повышение спроса на определенные категории товаров или услуг;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Стабилизация динамики сезонного спроса;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Создание конкурентной альтернативы предложению конкурентов;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Увеличение популярности бренда;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Популяризация Услуг в части использования Клиентами адресного пространства российской национальной доменной зоны;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39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Прочие экономически обоснованные причины, включая предусмотренные п. 4.5. Политики.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1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1"/>
        <w:keepLines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hanging="691"/>
        <w:jc w:val="both"/>
        <w:rPr>
          <w:rFonts w:ascii="Times New Roman" w:cs="Times New Roman" w:eastAsia="Times New Roman" w:hAnsi="Times New Roman"/>
          <w:b w:val="1"/>
          <w:smallCaps w:val="1"/>
          <w:color w:val="000000"/>
        </w:rPr>
      </w:pPr>
      <w:bookmarkStart w:colFirst="0" w:colLast="0" w:name="_heading=h.lnxbz9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rtl w:val="0"/>
        </w:rPr>
        <w:t xml:space="preserve">ЗАКЛЮЧИТЕЛЬНЫЕ ПОЛОЖЕНИЯ</w:t>
      </w:r>
    </w:p>
    <w:p w:rsidR="00000000" w:rsidDel="00000000" w:rsidP="00000000" w:rsidRDefault="00000000" w:rsidRPr="00000000" w14:paraId="000000C4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8" w:hanging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5.1. </w:t>
        <w:tab/>
        <w:t xml:space="preserve">Настоящая Политика утверждена приказом Генерального директора ООО «РУ-ВЕБ. ИНВЕСТИЦИИ» после ее согласования с ФАС России.</w:t>
      </w:r>
    </w:p>
    <w:p w:rsidR="00000000" w:rsidDel="00000000" w:rsidP="00000000" w:rsidRDefault="00000000" w:rsidRPr="00000000" w14:paraId="000000C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42" w:hanging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9" w:hanging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Настоящая Политика является обязательной для исполнения всеми структурными подразделениями ООО «РУ-ВЕБ. ИНВЕСТИЦИИ» и Общества (о чем Обществом принимается соответствующий приказ, являющийся его локальным нормативным актом).</w:t>
      </w:r>
    </w:p>
    <w:p w:rsidR="00000000" w:rsidDel="00000000" w:rsidP="00000000" w:rsidRDefault="00000000" w:rsidRPr="00000000" w14:paraId="000000C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9" w:hanging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9" w:hanging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ООО «РУ-ВЕБ. ИНВЕСТИЦИИ» может вносить изменения и дополнения в настоящую Политику в зависимости от изменения экономической ситуации в сфере оказания Услуг, а также в соответствии с изменениями законодательства Российской Федерации (за исключением п. 4.7. настоящей Политики, который не подлежит изменению в течение срока действия предписаний ФАС России № ПИ/61363/21 и № ПИ/61352/21). Изменения (дополнения) в настоящую Политику вносятся согласно приказу Генерального директора ООО «РУ-ВЕБ. ИНВЕСТИЦИИ», о чем ФАС России уведомляется в течение 15 (пятнадцати) календарных дней.</w:t>
      </w:r>
    </w:p>
    <w:p w:rsidR="00000000" w:rsidDel="00000000" w:rsidP="00000000" w:rsidRDefault="00000000" w:rsidRPr="00000000" w14:paraId="000000C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9" w:hanging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Настоящая Политика, а также изменения к ней вступают в силу с даты, указанной в приказе об утверждении Политики (изменений к ней). Настоящая Политика, а также изменения к ней применяются к отношениям между Обществом, Клиентами и Партнерами, возникающим с даты вступления в силу Политики (изменений к ней).</w:t>
      </w:r>
    </w:p>
    <w:p w:rsidR="00000000" w:rsidDel="00000000" w:rsidP="00000000" w:rsidRDefault="00000000" w:rsidRPr="00000000" w14:paraId="000000C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9" w:hanging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line="240" w:lineRule="auto"/>
        <w:ind w:left="709" w:hanging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Политика и все изменения к ней подлежат опубликованию на официальном сайте Общества по адресу: [●]. Общество также обеспечивает своевременное информирование Клиентов и Партнеров о конкретных условиях сотрудничества, которые применимы к ним в соответствии с настоящей Политикой (изменениями к ней), а также принятыми в соответствии с Политикой локальными нормативными актами Общества.</w:t>
      </w:r>
    </w:p>
    <w:sectPr>
      <w:headerReference r:id="rId22" w:type="default"/>
      <w:headerReference r:id="rId23" w:type="first"/>
      <w:headerReference r:id="rId24" w:type="even"/>
      <w:footerReference r:id="rId25" w:type="default"/>
      <w:footerReference r:id="rId26" w:type="first"/>
      <w:footerReference r:id="rId27" w:type="even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jc w:val="left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420" w:hanging="420"/>
      </w:pPr>
      <w:rPr/>
    </w:lvl>
    <w:lvl w:ilvl="1">
      <w:start w:val="1"/>
      <w:numFmt w:val="decimal"/>
      <w:lvlText w:val="3.%2."/>
      <w:lvlJc w:val="left"/>
      <w:pPr>
        <w:ind w:left="1462" w:hanging="720.0000000000001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204" w:hanging="720"/>
      </w:pPr>
      <w:rPr/>
    </w:lvl>
    <w:lvl w:ilvl="3">
      <w:start w:val="1"/>
      <w:numFmt w:val="decimal"/>
      <w:lvlText w:val="%1.%2.%3.%4."/>
      <w:lvlJc w:val="left"/>
      <w:pPr>
        <w:ind w:left="3306" w:hanging="1080"/>
      </w:pPr>
      <w:rPr/>
    </w:lvl>
    <w:lvl w:ilvl="4">
      <w:start w:val="1"/>
      <w:numFmt w:val="decimal"/>
      <w:lvlText w:val="%1.%2.%3.%4.%5."/>
      <w:lvlJc w:val="left"/>
      <w:pPr>
        <w:ind w:left="4048" w:hanging="1080"/>
      </w:pPr>
      <w:rPr/>
    </w:lvl>
    <w:lvl w:ilvl="5">
      <w:start w:val="1"/>
      <w:numFmt w:val="decimal"/>
      <w:lvlText w:val="%1.%2.%3.%4.%5.%6."/>
      <w:lvlJc w:val="left"/>
      <w:pPr>
        <w:ind w:left="5150" w:hanging="1440"/>
      </w:pPr>
      <w:rPr/>
    </w:lvl>
    <w:lvl w:ilvl="6">
      <w:start w:val="1"/>
      <w:numFmt w:val="decimal"/>
      <w:lvlText w:val="%1.%2.%3.%4.%5.%6.%7."/>
      <w:lvlJc w:val="left"/>
      <w:pPr>
        <w:ind w:left="5892" w:hanging="1440"/>
      </w:pPr>
      <w:rPr/>
    </w:lvl>
    <w:lvl w:ilvl="7">
      <w:start w:val="1"/>
      <w:numFmt w:val="decimal"/>
      <w:lvlText w:val="%1.%2.%3.%4.%5.%6.%7.%8."/>
      <w:lvlJc w:val="left"/>
      <w:pPr>
        <w:ind w:left="6994" w:hanging="1800"/>
      </w:pPr>
      <w:rPr/>
    </w:lvl>
    <w:lvl w:ilvl="8">
      <w:start w:val="1"/>
      <w:numFmt w:val="decimal"/>
      <w:lvlText w:val="%1.%2.%3.%4.%5.%6.%7.%8.%9."/>
      <w:lvlJc w:val="left"/>
      <w:pPr>
        <w:ind w:left="8096" w:hanging="216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360" w:hanging="360"/>
      </w:pPr>
      <w:rPr/>
    </w:lvl>
    <w:lvl w:ilvl="1">
      <w:start w:val="2"/>
      <w:numFmt w:val="decimal"/>
      <w:lvlText w:val="%1.%2."/>
      <w:lvlJc w:val="left"/>
      <w:pPr>
        <w:ind w:left="1069" w:hanging="360"/>
      </w:pPr>
      <w:rPr/>
    </w:lvl>
    <w:lvl w:ilvl="2">
      <w:start w:val="1"/>
      <w:numFmt w:val="decimal"/>
      <w:lvlText w:val="%1.%2.%3."/>
      <w:lvlJc w:val="left"/>
      <w:pPr>
        <w:ind w:left="2138" w:hanging="720"/>
      </w:pPr>
      <w:rPr/>
    </w:lvl>
    <w:lvl w:ilvl="3">
      <w:start w:val="1"/>
      <w:numFmt w:val="decimal"/>
      <w:lvlText w:val="%1.%2.%3.%4."/>
      <w:lvlJc w:val="left"/>
      <w:pPr>
        <w:ind w:left="2847" w:hanging="720"/>
      </w:pPr>
      <w:rPr/>
    </w:lvl>
    <w:lvl w:ilvl="4">
      <w:start w:val="1"/>
      <w:numFmt w:val="decimal"/>
      <w:lvlText w:val="%1.%2.%3.%4.%5."/>
      <w:lvlJc w:val="left"/>
      <w:pPr>
        <w:ind w:left="3916" w:hanging="1080"/>
      </w:pPr>
      <w:rPr/>
    </w:lvl>
    <w:lvl w:ilvl="5">
      <w:start w:val="1"/>
      <w:numFmt w:val="decimal"/>
      <w:lvlText w:val="%1.%2.%3.%4.%5.%6."/>
      <w:lvlJc w:val="left"/>
      <w:pPr>
        <w:ind w:left="4625" w:hanging="1080"/>
      </w:pPr>
      <w:rPr/>
    </w:lvl>
    <w:lvl w:ilvl="6">
      <w:start w:val="1"/>
      <w:numFmt w:val="decimal"/>
      <w:lvlText w:val="%1.%2.%3.%4.%5.%6.%7."/>
      <w:lvlJc w:val="left"/>
      <w:pPr>
        <w:ind w:left="5694" w:hanging="1440"/>
      </w:pPr>
      <w:rPr/>
    </w:lvl>
    <w:lvl w:ilvl="7">
      <w:start w:val="1"/>
      <w:numFmt w:val="decimal"/>
      <w:lvlText w:val="%1.%2.%3.%4.%5.%6.%7.%8."/>
      <w:lvlJc w:val="left"/>
      <w:pPr>
        <w:ind w:left="6403" w:hanging="1440"/>
      </w:pPr>
      <w:rPr/>
    </w:lvl>
    <w:lvl w:ilvl="8">
      <w:start w:val="1"/>
      <w:numFmt w:val="decimal"/>
      <w:lvlText w:val="%1.%2.%3.%4.%5.%6.%7.%8.%9."/>
      <w:lvlJc w:val="left"/>
      <w:pPr>
        <w:ind w:left="7472" w:hanging="18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  <w:sz w:val="22"/>
        <w:szCs w:val="22"/>
      </w:rPr>
    </w:lvl>
  </w:abstractNum>
  <w:abstractNum w:abstractNumId="5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</w:pPr>
    <w:rPr>
      <w:rFonts w:ascii="Times New Roman" w:cs="Times New Roman" w:eastAsia="Times New Roman" w:hAnsi="Times New Roman"/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color w:val="1f3863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0" w:before="240" w:line="240" w:lineRule="auto"/>
      <w:outlineLvl w:val="0"/>
    </w:pPr>
    <w:rPr>
      <w:rFonts w:ascii="Times New Roman" w:cs="Times New Roman" w:eastAsia="Times New Roman" w:hAnsi="Times New Roman"/>
      <w:b w:val="1"/>
      <w:smallCaps w:val="1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0" w:before="40"/>
      <w:outlineLvl w:val="1"/>
    </w:pPr>
    <w:rPr>
      <w:color w:val="2f5496"/>
      <w:sz w:val="26"/>
      <w:szCs w:val="2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0" w:before="40"/>
      <w:outlineLvl w:val="2"/>
    </w:pPr>
    <w:rPr>
      <w:color w:val="1f3863"/>
      <w:sz w:val="24"/>
      <w:szCs w:val="24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0" w:before="40"/>
      <w:outlineLvl w:val="3"/>
    </w:pPr>
    <w:rPr>
      <w:i w:val="1"/>
      <w:color w:val="2f5496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0" w:before="40"/>
      <w:outlineLvl w:val="4"/>
    </w:pPr>
    <w:rPr>
      <w:color w:val="2f549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0" w:before="40"/>
      <w:outlineLvl w:val="5"/>
    </w:pPr>
    <w:rPr>
      <w:color w:val="1f3863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spacing w:after="0" w:line="240" w:lineRule="auto"/>
    </w:pPr>
    <w:rPr>
      <w:sz w:val="56"/>
      <w:szCs w:val="56"/>
    </w:rPr>
  </w:style>
  <w:style w:type="paragraph" w:styleId="a4">
    <w:name w:val="Subtitle"/>
    <w:basedOn w:val="a"/>
    <w:next w:val="a"/>
    <w:uiPriority w:val="11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color w:val="5a5a5a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6">
    <w:name w:val="annotation text"/>
    <w:basedOn w:val="a"/>
    <w:link w:val="a7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a7" w:customStyle="1">
    <w:name w:val="Текст примечания Знак"/>
    <w:basedOn w:val="a0"/>
    <w:link w:val="a6"/>
    <w:uiPriority w:val="99"/>
    <w:semiHidden w:val="1"/>
    <w:rPr>
      <w:sz w:val="20"/>
      <w:szCs w:val="20"/>
    </w:rPr>
  </w:style>
  <w:style w:type="character" w:styleId="a8">
    <w:name w:val="annotation reference"/>
    <w:basedOn w:val="a0"/>
    <w:uiPriority w:val="99"/>
    <w:semiHidden w:val="1"/>
    <w:unhideWhenUsed w:val="1"/>
    <w:rPr>
      <w:sz w:val="16"/>
      <w:szCs w:val="16"/>
    </w:rPr>
  </w:style>
  <w:style w:type="paragraph" w:styleId="a9">
    <w:name w:val="annotation subject"/>
    <w:basedOn w:val="a6"/>
    <w:next w:val="a6"/>
    <w:link w:val="aa"/>
    <w:uiPriority w:val="99"/>
    <w:semiHidden w:val="1"/>
    <w:unhideWhenUsed w:val="1"/>
    <w:rsid w:val="00825C67"/>
    <w:rPr>
      <w:b w:val="1"/>
      <w:bCs w:val="1"/>
    </w:rPr>
  </w:style>
  <w:style w:type="character" w:styleId="aa" w:customStyle="1">
    <w:name w:val="Тема примечания Знак"/>
    <w:basedOn w:val="a7"/>
    <w:link w:val="a9"/>
    <w:uiPriority w:val="99"/>
    <w:semiHidden w:val="1"/>
    <w:rsid w:val="00825C67"/>
    <w:rPr>
      <w:b w:val="1"/>
      <w:bCs w:val="1"/>
      <w:sz w:val="20"/>
      <w:szCs w:val="20"/>
    </w:rPr>
  </w:style>
  <w:style w:type="paragraph" w:styleId="ab">
    <w:name w:val="Revision"/>
    <w:hidden w:val="1"/>
    <w:uiPriority w:val="99"/>
    <w:semiHidden w:val="1"/>
    <w:rsid w:val="00825C67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 w:val="1"/>
    <w:rsid w:val="00533B7A"/>
    <w:pPr>
      <w:tabs>
        <w:tab w:val="center" w:pos="4677"/>
        <w:tab w:val="right" w:pos="9355"/>
      </w:tabs>
      <w:spacing w:after="0" w:line="240" w:lineRule="auto"/>
    </w:pPr>
  </w:style>
  <w:style w:type="character" w:styleId="ad" w:customStyle="1">
    <w:name w:val="Верхний колонтитул Знак"/>
    <w:basedOn w:val="a0"/>
    <w:link w:val="ac"/>
    <w:uiPriority w:val="99"/>
    <w:rsid w:val="00533B7A"/>
  </w:style>
  <w:style w:type="paragraph" w:styleId="ae">
    <w:name w:val="footer"/>
    <w:basedOn w:val="a"/>
    <w:link w:val="af"/>
    <w:uiPriority w:val="99"/>
    <w:unhideWhenUsed w:val="1"/>
    <w:rsid w:val="00533B7A"/>
    <w:pPr>
      <w:tabs>
        <w:tab w:val="center" w:pos="4677"/>
        <w:tab w:val="right" w:pos="9355"/>
      </w:tabs>
      <w:spacing w:after="0" w:line="240" w:lineRule="auto"/>
    </w:pPr>
  </w:style>
  <w:style w:type="character" w:styleId="af" w:customStyle="1">
    <w:name w:val="Нижний колонтитул Знак"/>
    <w:basedOn w:val="a0"/>
    <w:link w:val="ae"/>
    <w:uiPriority w:val="99"/>
    <w:rsid w:val="00533B7A"/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telebord24.ru/price/" TargetMode="External"/><Relationship Id="rId22" Type="http://schemas.openxmlformats.org/officeDocument/2006/relationships/header" Target="header1.xml"/><Relationship Id="rId21" Type="http://schemas.openxmlformats.org/officeDocument/2006/relationships/hyperlink" Target="https://www.topdomenreg24.ru/price/" TargetMode="External"/><Relationship Id="rId24" Type="http://schemas.openxmlformats.org/officeDocument/2006/relationships/header" Target="header2.xml"/><Relationship Id="rId23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personal-n.ru/docs/registrar/Price-ru-rf-20102020.rtf" TargetMode="External"/><Relationship Id="rId26" Type="http://schemas.openxmlformats.org/officeDocument/2006/relationships/footer" Target="footer2.xml"/><Relationship Id="rId25" Type="http://schemas.openxmlformats.org/officeDocument/2006/relationships/footer" Target="footer3.xml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nic.ru/help/tarify-na-uslugi-600/" TargetMode="External"/><Relationship Id="rId8" Type="http://schemas.openxmlformats.org/officeDocument/2006/relationships/hyperlink" Target="https://r01.ru/domain/pay/" TargetMode="External"/><Relationship Id="rId11" Type="http://schemas.openxmlformats.org/officeDocument/2006/relationships/hyperlink" Target="https://www.bestreg24.ru/price/" TargetMode="External"/><Relationship Id="rId10" Type="http://schemas.openxmlformats.org/officeDocument/2006/relationships/hyperlink" Target="https://2domains.ru/support/pricing" TargetMode="External"/><Relationship Id="rId13" Type="http://schemas.openxmlformats.org/officeDocument/2006/relationships/hyperlink" Target="https://www.webreg24.ru/price/" TargetMode="External"/><Relationship Id="rId12" Type="http://schemas.openxmlformats.org/officeDocument/2006/relationships/hyperlink" Target="https://www.bigreg24.ru/price/" TargetMode="External"/><Relationship Id="rId15" Type="http://schemas.openxmlformats.org/officeDocument/2006/relationships/hyperlink" Target="https://www.clickreg.ru/price/" TargetMode="External"/><Relationship Id="rId14" Type="http://schemas.openxmlformats.org/officeDocument/2006/relationships/hyperlink" Target="https://www.regdomainhost.ru/price/" TargetMode="External"/><Relationship Id="rId17" Type="http://schemas.openxmlformats.org/officeDocument/2006/relationships/hyperlink" Target="https://www.prima-host.ru/price/" TargetMode="External"/><Relationship Id="rId16" Type="http://schemas.openxmlformats.org/officeDocument/2006/relationships/hyperlink" Target="https://www.open-reg.ru/price/" TargetMode="External"/><Relationship Id="rId19" Type="http://schemas.openxmlformats.org/officeDocument/2006/relationships/hyperlink" Target="https://www.domenservice.ru/price/" TargetMode="External"/><Relationship Id="rId18" Type="http://schemas.openxmlformats.org/officeDocument/2006/relationships/hyperlink" Target="https://www.telehost24.ru/pr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r3BWyG8alYNRPAO7Fv/jHuK80A==">AMUW2mWHiHES18qNvOO+o/mdN58MpQ0EZSUKtv48x14KTMt2vNbIqm1hwlAGrvAHECGDp2J9b8xmqKmtuYlbGvtef0EASYuvoSH9uDW7ZGKNn+zPr67JoJj+Y3tDgEOTtbn3Wet0Y2OeMTbTZqiTs8wi1bGUOOqXvBA01UBrSZ3ZguoFmwOO3iylTX4113VqWhJ34kSRR81TaKudNU/CJUYjF9WQF2k2MQ==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2021-12-09T16:13:00Z</dcterms:created>
  <dc:creator>Evgeny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0x01010034F70F339D5A9C489715D933075ABC9B</vt:lpwstr>
  </property>
</Properties>
</file>