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left="5977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Утверждена</w:t>
      </w:r>
    </w:p>
    <w:p w:rsidR="00000000" w:rsidDel="00000000" w:rsidP="00000000" w:rsidRDefault="00000000" w:rsidRPr="00000000" w14:paraId="00000002">
      <w:pPr>
        <w:spacing w:after="160" w:line="259" w:lineRule="auto"/>
        <w:ind w:left="5977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Приказом Генерального директора</w:t>
      </w:r>
    </w:p>
    <w:p w:rsidR="00000000" w:rsidDel="00000000" w:rsidP="00000000" w:rsidRDefault="00000000" w:rsidRPr="00000000" w14:paraId="00000003">
      <w:pPr>
        <w:spacing w:after="160" w:line="259" w:lineRule="auto"/>
        <w:ind w:left="5977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Общества с ограниченной ответственностью «РУ-ВЕБ. ИНВЕСТИЦИИ» </w:t>
      </w:r>
    </w:p>
    <w:p w:rsidR="00000000" w:rsidDel="00000000" w:rsidP="00000000" w:rsidRDefault="00000000" w:rsidRPr="00000000" w14:paraId="00000004">
      <w:pPr>
        <w:spacing w:after="160" w:line="259" w:lineRule="auto"/>
        <w:ind w:left="5977" w:firstLine="0"/>
        <w:rPr>
          <w:b w:val="1"/>
          <w:sz w:val="48"/>
          <w:szCs w:val="4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21 декабря 2021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960" w:before="1440" w:line="360" w:lineRule="auto"/>
        <w:jc w:val="center"/>
        <w:rPr>
          <w:b w:val="1"/>
          <w:color w:val="000000"/>
          <w:sz w:val="48"/>
          <w:szCs w:val="48"/>
        </w:rPr>
      </w:pPr>
      <w:r w:rsidDel="00000000" w:rsidR="00000000" w:rsidRPr="00000000">
        <w:rPr>
          <w:b w:val="1"/>
          <w:color w:val="000000"/>
          <w:sz w:val="48"/>
          <w:szCs w:val="48"/>
          <w:rtl w:val="0"/>
        </w:rPr>
        <w:t xml:space="preserve">Условия регистрации и продления регистрации доменных имен второго уровня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60" w:before="60" w:lineRule="auto"/>
        <w:ind w:left="284" w:hanging="284"/>
        <w:jc w:val="center"/>
        <w:rPr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60" w:before="60" w:lineRule="auto"/>
        <w:ind w:left="0" w:firstLine="0"/>
        <w:jc w:val="left"/>
        <w:rPr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60" w:before="60" w:lineRule="auto"/>
        <w:ind w:left="284" w:hanging="284"/>
        <w:jc w:val="center"/>
        <w:rPr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60" w:before="60" w:lineRule="auto"/>
        <w:jc w:val="both"/>
        <w:rPr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60" w:before="60" w:lineRule="auto"/>
        <w:ind w:left="284" w:hanging="284"/>
        <w:jc w:val="center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Москва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9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ОБЩИЕ ПОЛОЖЕНИЯ</w:t>
      </w:r>
    </w:p>
    <w:p w:rsidR="00000000" w:rsidDel="00000000" w:rsidP="00000000" w:rsidRDefault="00000000" w:rsidRPr="00000000" w14:paraId="0000000E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Настоящие условия регистрации и продления регистрации доменных имен второго уровня в зонах .RU, .РФ и .SU (далее – «</w:t>
      </w:r>
      <w:r w:rsidDel="00000000" w:rsidR="00000000" w:rsidRPr="00000000">
        <w:rPr>
          <w:b w:val="1"/>
          <w:sz w:val="22"/>
          <w:szCs w:val="22"/>
          <w:rtl w:val="0"/>
        </w:rPr>
        <w:t xml:space="preserve">Условия</w:t>
      </w:r>
      <w:r w:rsidDel="00000000" w:rsidR="00000000" w:rsidRPr="00000000">
        <w:rPr>
          <w:sz w:val="22"/>
          <w:szCs w:val="22"/>
          <w:rtl w:val="0"/>
        </w:rPr>
        <w:t xml:space="preserve">») распространяются на дочерние компании Общества с ограниченной ответственностью «РУ-ВЕБ. ИНВЕСТИЦИИ» (далее – «</w:t>
      </w:r>
      <w:r w:rsidDel="00000000" w:rsidR="00000000" w:rsidRPr="00000000">
        <w:rPr>
          <w:b w:val="1"/>
          <w:sz w:val="22"/>
          <w:szCs w:val="22"/>
          <w:rtl w:val="0"/>
        </w:rPr>
        <w:t xml:space="preserve">Общество</w:t>
      </w:r>
      <w:r w:rsidDel="00000000" w:rsidR="00000000" w:rsidRPr="00000000">
        <w:rPr>
          <w:sz w:val="22"/>
          <w:szCs w:val="22"/>
          <w:rtl w:val="0"/>
        </w:rPr>
        <w:t xml:space="preserve">»), осуществляющие деятельность в сфере оказания услуг регистрации доменных имен второго уровня в сети «Интернет» в зонах .RU, .РФ и/или .SU и аккредитованные соответствующими национальными регистратурами (заключившие соглашение об аккредитации с соответствующей национальной регистратурой), а именно: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70" w:hanging="410"/>
        <w:jc w:val="both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АО «РСИЦ» (ИНН 7733573894);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70" w:hanging="41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ООО «Регистратор Р01» (ИНН 7728365391);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70" w:hanging="41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ООО «СпейсВэб» (ИНН 7813376370);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ООО «РЕГ.РУ Домены Хостинг» (ИНН </w:t>
      </w:r>
      <w:r w:rsidDel="00000000" w:rsidR="00000000" w:rsidRPr="00000000">
        <w:rPr>
          <w:color w:val="202124"/>
          <w:sz w:val="22"/>
          <w:szCs w:val="22"/>
          <w:highlight w:val="white"/>
          <w:rtl w:val="0"/>
        </w:rPr>
        <w:t xml:space="preserve">6312068502);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ООО «Специальный регистратор доменных имен и почтовых сервисов» (ИНН 7714666310);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ООО «Бестрег» (ИНН </w:t>
      </w:r>
      <w:r w:rsidDel="00000000" w:rsidR="00000000" w:rsidRPr="00000000">
        <w:rPr>
          <w:color w:val="202124"/>
          <w:sz w:val="22"/>
          <w:szCs w:val="22"/>
          <w:highlight w:val="white"/>
          <w:rtl w:val="0"/>
        </w:rPr>
        <w:t xml:space="preserve">6316268823)</w:t>
      </w:r>
      <w:r w:rsidDel="00000000" w:rsidR="00000000" w:rsidRPr="00000000">
        <w:rPr>
          <w:color w:val="202124"/>
          <w:sz w:val="22"/>
          <w:szCs w:val="22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ООО «Бигрег» (ИНН </w:t>
      </w:r>
      <w:r w:rsidDel="00000000" w:rsidR="00000000" w:rsidRPr="00000000">
        <w:rPr>
          <w:color w:val="555555"/>
          <w:sz w:val="22"/>
          <w:szCs w:val="22"/>
          <w:highlight w:val="white"/>
          <w:rtl w:val="0"/>
        </w:rPr>
        <w:t xml:space="preserve">6316271463)</w:t>
      </w:r>
      <w:r w:rsidDel="00000000" w:rsidR="00000000" w:rsidRPr="00000000">
        <w:rPr>
          <w:color w:val="555555"/>
          <w:sz w:val="22"/>
          <w:szCs w:val="22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ООО «Вебрег» (ИНН </w:t>
      </w:r>
      <w:r w:rsidDel="00000000" w:rsidR="00000000" w:rsidRPr="00000000">
        <w:rPr>
          <w:color w:val="202124"/>
          <w:sz w:val="22"/>
          <w:szCs w:val="22"/>
          <w:highlight w:val="white"/>
          <w:rtl w:val="0"/>
        </w:rPr>
        <w:t xml:space="preserve">7714465815)</w:t>
      </w:r>
      <w:r w:rsidDel="00000000" w:rsidR="00000000" w:rsidRPr="00000000">
        <w:rPr>
          <w:color w:val="202124"/>
          <w:sz w:val="22"/>
          <w:szCs w:val="22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ООО «Доменхост» (ИНН </w:t>
      </w:r>
      <w:r w:rsidDel="00000000" w:rsidR="00000000" w:rsidRPr="00000000">
        <w:rPr>
          <w:color w:val="202124"/>
          <w:sz w:val="22"/>
          <w:szCs w:val="22"/>
          <w:highlight w:val="white"/>
          <w:rtl w:val="0"/>
        </w:rPr>
        <w:t xml:space="preserve">6316268710)</w:t>
      </w:r>
      <w:r w:rsidDel="00000000" w:rsidR="00000000" w:rsidRPr="00000000">
        <w:rPr>
          <w:color w:val="202124"/>
          <w:sz w:val="22"/>
          <w:szCs w:val="22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ООО «Кликрег» (ИНН </w:t>
      </w:r>
      <w:r w:rsidDel="00000000" w:rsidR="00000000" w:rsidRPr="00000000">
        <w:rPr>
          <w:color w:val="202124"/>
          <w:sz w:val="22"/>
          <w:szCs w:val="22"/>
          <w:highlight w:val="white"/>
          <w:rtl w:val="0"/>
        </w:rPr>
        <w:t xml:space="preserve">7714465822)</w:t>
      </w:r>
      <w:r w:rsidDel="00000000" w:rsidR="00000000" w:rsidRPr="00000000">
        <w:rPr>
          <w:color w:val="202124"/>
          <w:sz w:val="22"/>
          <w:szCs w:val="22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ООО «Кликхост» (ИНН </w:t>
      </w:r>
      <w:r w:rsidDel="00000000" w:rsidR="00000000" w:rsidRPr="00000000">
        <w:rPr>
          <w:color w:val="202124"/>
          <w:sz w:val="22"/>
          <w:szCs w:val="22"/>
          <w:highlight w:val="white"/>
          <w:rtl w:val="0"/>
        </w:rPr>
        <w:t xml:space="preserve">7714465526)</w:t>
      </w:r>
      <w:r w:rsidDel="00000000" w:rsidR="00000000" w:rsidRPr="00000000">
        <w:rPr>
          <w:color w:val="202124"/>
          <w:sz w:val="22"/>
          <w:szCs w:val="22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ООО «Опенрег» (ИНН 6316268728);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ООО «Примахост» (ИНН 7714465808);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ООО «Телехост» (ИНН 6316271431);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ООО «Доменсервис» (ИНН 6316265163);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ООО «Телеборд» (ИНН 6316264956);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ООО «Топдомен» (ИНН 6316264970);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АО «Система дата-центров» (ИНН 7716830904);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20" w:hanging="360"/>
        <w:jc w:val="both"/>
        <w:rPr>
          <w:color w:val="202124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ООО «2ДОМЕЙНС.РУ» (ИНН </w:t>
      </w:r>
      <w:r w:rsidDel="00000000" w:rsidR="00000000" w:rsidRPr="00000000">
        <w:rPr>
          <w:color w:val="202124"/>
          <w:sz w:val="22"/>
          <w:szCs w:val="22"/>
          <w:highlight w:val="white"/>
          <w:rtl w:val="0"/>
        </w:rPr>
        <w:t xml:space="preserve">7714592700)</w:t>
      </w:r>
      <w:r w:rsidDel="00000000" w:rsidR="00000000" w:rsidRPr="00000000">
        <w:rPr>
          <w:color w:val="202124"/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ООО «Регистратор доменных имен РЕГ.РУ» (ИНН 7733568767),</w:t>
      </w:r>
    </w:p>
    <w:p w:rsidR="00000000" w:rsidDel="00000000" w:rsidP="00000000" w:rsidRDefault="00000000" w:rsidRPr="00000000" w14:paraId="00000024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(далее совместно – «</w:t>
      </w:r>
      <w:r w:rsidDel="00000000" w:rsidR="00000000" w:rsidRPr="00000000">
        <w:rPr>
          <w:b w:val="1"/>
          <w:sz w:val="22"/>
          <w:szCs w:val="22"/>
          <w:rtl w:val="0"/>
        </w:rPr>
        <w:t xml:space="preserve">Регистраторы</w:t>
      </w:r>
      <w:r w:rsidDel="00000000" w:rsidR="00000000" w:rsidRPr="00000000">
        <w:rPr>
          <w:sz w:val="22"/>
          <w:szCs w:val="22"/>
          <w:rtl w:val="0"/>
        </w:rPr>
        <w:t xml:space="preserve">»).</w:t>
      </w:r>
    </w:p>
    <w:p w:rsidR="00000000" w:rsidDel="00000000" w:rsidP="00000000" w:rsidRDefault="00000000" w:rsidRPr="00000000" w14:paraId="00000025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Условия регистрации и продления регистрации доменов второго уровня в зонах .RU, .РФ и .SU строго регламентированы национальными регистратурами доменных имен верхнего уровня .RU, .РФ и .SU – Координационным центром доменов .RU/.РФ</w:t>
      </w:r>
      <w:r w:rsidDel="00000000" w:rsidR="00000000" w:rsidRPr="00000000">
        <w:rPr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sz w:val="22"/>
          <w:szCs w:val="22"/>
          <w:rtl w:val="0"/>
        </w:rPr>
        <w:t xml:space="preserve"> (далее – «</w:t>
      </w:r>
      <w:r w:rsidDel="00000000" w:rsidR="00000000" w:rsidRPr="00000000">
        <w:rPr>
          <w:b w:val="1"/>
          <w:sz w:val="22"/>
          <w:szCs w:val="22"/>
          <w:rtl w:val="0"/>
        </w:rPr>
        <w:t xml:space="preserve">Координатор .RU и .РФ</w:t>
      </w:r>
      <w:r w:rsidDel="00000000" w:rsidR="00000000" w:rsidRPr="00000000">
        <w:rPr>
          <w:sz w:val="22"/>
          <w:szCs w:val="22"/>
          <w:rtl w:val="0"/>
        </w:rPr>
        <w:t xml:space="preserve">») и АНО «РосНИИРОС»</w:t>
      </w:r>
      <w:r w:rsidDel="00000000" w:rsidR="00000000" w:rsidRPr="00000000">
        <w:rPr>
          <w:sz w:val="22"/>
          <w:szCs w:val="22"/>
          <w:vertAlign w:val="superscript"/>
        </w:rPr>
        <w:footnoteReference w:customMarkFollows="0" w:id="1"/>
      </w:r>
      <w:r w:rsidDel="00000000" w:rsidR="00000000" w:rsidRPr="00000000">
        <w:rPr>
          <w:sz w:val="22"/>
          <w:szCs w:val="22"/>
          <w:rtl w:val="0"/>
        </w:rPr>
        <w:t xml:space="preserve"> (далее – «</w:t>
      </w:r>
      <w:r w:rsidDel="00000000" w:rsidR="00000000" w:rsidRPr="00000000">
        <w:rPr>
          <w:b w:val="1"/>
          <w:sz w:val="22"/>
          <w:szCs w:val="22"/>
          <w:rtl w:val="0"/>
        </w:rPr>
        <w:t xml:space="preserve">Регистратура .SU</w:t>
      </w:r>
      <w:r w:rsidDel="00000000" w:rsidR="00000000" w:rsidRPr="00000000">
        <w:rPr>
          <w:sz w:val="22"/>
          <w:szCs w:val="22"/>
          <w:rtl w:val="0"/>
        </w:rPr>
        <w:t xml:space="preserve">») соответственно.</w:t>
      </w:r>
    </w:p>
    <w:p w:rsidR="00000000" w:rsidDel="00000000" w:rsidP="00000000" w:rsidRDefault="00000000" w:rsidRPr="00000000" w14:paraId="00000027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sz w:val="22"/>
          <w:szCs w:val="22"/>
        </w:rPr>
      </w:pPr>
      <w:bookmarkStart w:colFirst="0" w:colLast="0" w:name="_heading=h.1fob9te" w:id="1"/>
      <w:bookmarkEnd w:id="1"/>
      <w:r w:rsidDel="00000000" w:rsidR="00000000" w:rsidRPr="00000000">
        <w:rPr>
          <w:sz w:val="22"/>
          <w:szCs w:val="22"/>
          <w:rtl w:val="0"/>
        </w:rPr>
        <w:t xml:space="preserve">Регистраторы обязаны в течение всего срока аккредитации соблюдать Правила регистрации доменных имен в доменах .RU и .РФ</w:t>
      </w:r>
      <w:r w:rsidDel="00000000" w:rsidR="00000000" w:rsidRPr="00000000">
        <w:rPr>
          <w:sz w:val="22"/>
          <w:szCs w:val="22"/>
          <w:vertAlign w:val="superscript"/>
        </w:rPr>
        <w:footnoteReference w:customMarkFollows="0" w:id="2"/>
      </w:r>
      <w:r w:rsidDel="00000000" w:rsidR="00000000" w:rsidRPr="00000000">
        <w:rPr>
          <w:sz w:val="22"/>
          <w:szCs w:val="22"/>
          <w:rtl w:val="0"/>
        </w:rPr>
        <w:t xml:space="preserve"> (далее – «</w:t>
      </w:r>
      <w:r w:rsidDel="00000000" w:rsidR="00000000" w:rsidRPr="00000000">
        <w:rPr>
          <w:b w:val="1"/>
          <w:sz w:val="22"/>
          <w:szCs w:val="22"/>
          <w:rtl w:val="0"/>
        </w:rPr>
        <w:t xml:space="preserve">Правила .RU/.РФ</w:t>
      </w:r>
      <w:r w:rsidDel="00000000" w:rsidR="00000000" w:rsidRPr="00000000">
        <w:rPr>
          <w:sz w:val="22"/>
          <w:szCs w:val="22"/>
          <w:rtl w:val="0"/>
        </w:rPr>
        <w:t xml:space="preserve">») и Правила регистрации доменных имен в домене .SU</w:t>
      </w:r>
      <w:r w:rsidDel="00000000" w:rsidR="00000000" w:rsidRPr="00000000">
        <w:rPr>
          <w:sz w:val="22"/>
          <w:szCs w:val="22"/>
          <w:vertAlign w:val="superscript"/>
        </w:rPr>
        <w:footnoteReference w:customMarkFollows="0" w:id="3"/>
      </w:r>
      <w:r w:rsidDel="00000000" w:rsidR="00000000" w:rsidRPr="00000000">
        <w:rPr>
          <w:sz w:val="22"/>
          <w:szCs w:val="22"/>
          <w:rtl w:val="0"/>
        </w:rPr>
        <w:t xml:space="preserve"> (далее – «</w:t>
      </w:r>
      <w:r w:rsidDel="00000000" w:rsidR="00000000" w:rsidRPr="00000000">
        <w:rPr>
          <w:b w:val="1"/>
          <w:sz w:val="22"/>
          <w:szCs w:val="22"/>
          <w:rtl w:val="0"/>
        </w:rPr>
        <w:t xml:space="preserve">Правила .SU</w:t>
      </w:r>
      <w:r w:rsidDel="00000000" w:rsidR="00000000" w:rsidRPr="00000000">
        <w:rPr>
          <w:sz w:val="22"/>
          <w:szCs w:val="22"/>
          <w:rtl w:val="0"/>
        </w:rPr>
        <w:t xml:space="preserve">»). При совместном упоминании Правила .RU/.РФ и Правила .SU именуются «Правила».</w:t>
      </w:r>
    </w:p>
    <w:p w:rsidR="00000000" w:rsidDel="00000000" w:rsidP="00000000" w:rsidRDefault="00000000" w:rsidRPr="00000000" w14:paraId="00000029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Указанные документы отражают обязательные к исполнению условия и требования, касательно: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120" w:before="120" w:lineRule="auto"/>
        <w:ind w:left="720" w:hanging="360"/>
        <w:jc w:val="both"/>
        <w:rPr>
          <w:sz w:val="22"/>
          <w:szCs w:val="22"/>
        </w:rPr>
      </w:pPr>
      <w:bookmarkStart w:colFirst="0" w:colLast="0" w:name="_heading=h.3znysh7" w:id="2"/>
      <w:bookmarkEnd w:id="2"/>
      <w:r w:rsidDel="00000000" w:rsidR="00000000" w:rsidRPr="00000000">
        <w:rPr>
          <w:sz w:val="22"/>
          <w:szCs w:val="22"/>
          <w:rtl w:val="0"/>
        </w:rPr>
        <w:t xml:space="preserve">перехода пользователей (передачи/переноса поддержки (трансфера) доменных имен) к другим регистраторам,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120" w:before="12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регистрации и продления регистрации доменных имен второго уровня,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120" w:before="12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недопущения навязывания услуг, не относящихся к услугам регистрации и продления регистрации доменных имен второго уровня,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120" w:before="12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прозрачности, недискриминационности и отсутствия неопределенного усмотрения регистратора ко всем пользователям,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120" w:before="12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перепродажи услуг регистраторов, которые не содержат ограничений осуществления предпринимательской деятельности партнеров и реселлеров,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before="120" w:lineRule="auto"/>
        <w:ind w:left="720" w:hanging="360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а также содержат иные условия, указанные в документах.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Условия регистрации и продления регистрации доменных имен второго уровня также в полной мере соответствуют положениям Коммерческой политики Общества и его дочерних хозяйственных обществ в части услуг регистрации и продления регистрации доменных имен второго уровня в доменах верхнего уровня .RU, .SU, .РФ. в сети «Интернет» (далее – «Коммерческая политика»), а именно отражают принципы и направлены на достижение целей, установленных Коммерческой политикой: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120" w:before="12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обеспечение равного и недискриминационного отношения к администраторам доменных имен;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120" w:before="12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обеспечение соблюдения высоких стандартов деловой и профессиональной этики;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120" w:before="12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обеспечение бесперебойности и своевременности оказания услуг;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before="12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предупреждение навязывания пользователям товаров, работ, услуг;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before="12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предупреждение создания препятствий для пользователей, желающих отказаться от услуг.</w:t>
      </w:r>
    </w:p>
    <w:p w:rsidR="00000000" w:rsidDel="00000000" w:rsidP="00000000" w:rsidRDefault="00000000" w:rsidRPr="00000000" w14:paraId="00000038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sz w:val="22"/>
          <w:szCs w:val="22"/>
        </w:rPr>
      </w:pPr>
      <w:bookmarkStart w:colFirst="0" w:colLast="0" w:name="_heading=h.2et92p0" w:id="3"/>
      <w:bookmarkEnd w:id="3"/>
      <w:r w:rsidDel="00000000" w:rsidR="00000000" w:rsidRPr="00000000">
        <w:rPr>
          <w:sz w:val="22"/>
          <w:szCs w:val="22"/>
          <w:rtl w:val="0"/>
        </w:rPr>
        <w:t xml:space="preserve">Соблюдение Регистраторами соответствующих Правил, а также иных регламентирующих документов национальных регистратур контролируется Координатором .RU и .РФ и Регистратурой .SU путем осуществления плановых и внеплановых проверок. В случае выявления несоответствия положений собственных документов и процедур аккредитованного регистратора требованиям регламентирующих документов ему выносится предписание о необходимости внесения соответствующих изменений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Таким образом, условия и порядок оказания услуг, связанных с регистрацией и продлением регистрации доменных имен, определяются обязательными (в том числе для Регистраторов) Правилами, Коммерческой политикой и договором об оказании услуг, заключаемым между соответствующим Регистратором и каждым администратором доменного имени. При этом прозрачность и недискриминационность данных процедур обеспечивается равенством условий оказания услуг администраторам доменных имен, а также абсолютным приоритетом Правил, которые являются составной частью договора об оказании услуг. </w:t>
      </w:r>
    </w:p>
    <w:p w:rsidR="00000000" w:rsidDel="00000000" w:rsidP="00000000" w:rsidRDefault="00000000" w:rsidRPr="00000000" w14:paraId="0000003C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Согласно п. 2.3. Правил .RU/.РФ и п. 2.9. Правил .SU заключаемый договор об оказании услуг является публичным и открыто размещен на официальном веб-сайте каждого из Регистраторов.</w:t>
      </w:r>
    </w:p>
    <w:p w:rsidR="00000000" w:rsidDel="00000000" w:rsidP="00000000" w:rsidRDefault="00000000" w:rsidRPr="00000000" w14:paraId="0000003E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Настоящие Условия являются исчерпывающими. Регистраторы не вправе устанавливать иные (в т. ч. собственные) условия регистрации и продления регистрации доменных имен второго уровня в зонах .RU, .РФ и .SU.</w:t>
      </w:r>
    </w:p>
    <w:p w:rsidR="00000000" w:rsidDel="00000000" w:rsidP="00000000" w:rsidRDefault="00000000" w:rsidRPr="00000000" w14:paraId="00000040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Навязывание услуг, не относящихся к регистрации и продлению регистрации доменных имен второго уровня в зонах .RU, .РФ и .SU, в том числе обусловливание регистрации и/или продления регистрации необходимостью приобретения иных услуг, оказываемых Регистраторами или иными юридическими лицами, входящими в группу лиц с Обществом, не допускается.</w:t>
      </w:r>
    </w:p>
    <w:p w:rsidR="00000000" w:rsidDel="00000000" w:rsidP="00000000" w:rsidRDefault="00000000" w:rsidRPr="00000000" w14:paraId="0000004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УСЛОВИЯ РЕГИСТРАЦИИ И ПРОДЛЕНИЯ РЕГИСТРАЦИИ ДОМЕННЫХ ИМЕН ВТОРОГО УРОВНЯ</w:t>
      </w:r>
    </w:p>
    <w:p w:rsidR="00000000" w:rsidDel="00000000" w:rsidP="00000000" w:rsidRDefault="00000000" w:rsidRPr="00000000" w14:paraId="00000044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Услуги регистрации доменных имен</w:t>
      </w:r>
      <w:r w:rsidDel="00000000" w:rsidR="00000000" w:rsidRPr="00000000">
        <w:rPr>
          <w:sz w:val="22"/>
          <w:szCs w:val="22"/>
          <w:rtl w:val="0"/>
        </w:rPr>
        <w:t xml:space="preserve"> второго уровня в зонах .RU, .РФ и .SU оказываются Регистраторами по принципу «первой заявки». Регистраторы обязаны обеспечивать и поддерживать соблюдение этого условия путем использования автоматизированных средств обработки заявок, гарантирующих равенство прав лиц, желающих зарегистрировать доменные имена. Администратором доменного имени может стать любое лицо, заключившее договор об оказании услуг с Регистратором и направившее заявку – как физическое лицо или индивидуальный предприниматель, так и юридическое лицо. Цены и иные условия оказания услуг не зависят от выбранного пользователем (потенциальным администратором) доменного имени второго уровня. В результате оказания Регистраторами услуг регистрации доменов пользователи приобретают права их администрирования (становятся администраторами доменов), которые действуют с момента регистрации и в течение всего срока действия регистрации соответствующих доменных имен.</w:t>
      </w:r>
    </w:p>
    <w:p w:rsidR="00000000" w:rsidDel="00000000" w:rsidP="00000000" w:rsidRDefault="00000000" w:rsidRPr="00000000" w14:paraId="00000046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Порядок регистрации доменных имен:</w:t>
      </w:r>
    </w:p>
    <w:p w:rsidR="00000000" w:rsidDel="00000000" w:rsidP="00000000" w:rsidRDefault="00000000" w:rsidRPr="00000000" w14:paraId="00000048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Выбор домена. Пользователь веб-сайта Регистратора указывает в поисковой строке желаемое доменное имя. В имени могут использоваться только буквы, цифры и дефисы. Если доменное имя свободно для регистрации (не занято иным лицом, ранее зарегистрировавшим этот домен), пользователь может подать заявку на регистрацию.</w:t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Оформление и оплата заказа. На этом этапе пользователь проверяет направляемую заявку и подтверждает свое решение (волеизъявление) зарегистрировать доменное имя путем направления заказа Регистратору. Если в момент направления заявки у пользователя на балансе договора об оказании услуг, заключенного с Регистратором, недостаточно денежных средств для автоматической оплаты заказа, ему предлагается пополнить баланс любым из доступных способов, поддерживаемых веб-сайтом Регистратора.</w:t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Регистрация домена. Оплаченный заказ поступает в обработку. Доменное имя считается зарегистрированным с момента внесения соответствующих сведений в Реестр. Уведомление об успешной регистрации отправляется на указанный пользователем в соответствии с договором об оказании услуг адрес электронной почты.</w:t>
      </w:r>
    </w:p>
    <w:p w:rsidR="00000000" w:rsidDel="00000000" w:rsidP="00000000" w:rsidRDefault="00000000" w:rsidRPr="00000000" w14:paraId="0000004C">
      <w:pPr>
        <w:widowControl w:val="0"/>
        <w:jc w:val="both"/>
        <w:rPr>
          <w:sz w:val="22"/>
          <w:szCs w:val="22"/>
        </w:rPr>
      </w:pPr>
      <w:bookmarkStart w:colFirst="0" w:colLast="0" w:name="_heading=h.30j0zll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Регистраторы не вправе отказывать в оказании услуг регистрации доменных имен по основаниям, отличным от установленных Правилами. Услуги регистрации доменных имен не подлежат оказанию исключительно по следующим причинам:</w:t>
      </w:r>
    </w:p>
    <w:p w:rsidR="00000000" w:rsidDel="00000000" w:rsidP="00000000" w:rsidRDefault="00000000" w:rsidRPr="00000000" w14:paraId="0000004E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доменное имя уже зарегистрировано;</w:t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доменное имя не соответствует требованиям, предъявляемым Правилами к количеству и видам используемых символов;</w:t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регистрация доменного имени ограничена Координатором .RU/.РФ или Регистратурой .SU (домен включен в перечень запрещенных для регистрации или зарезервирован для нужд государственных органов);</w:t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в доменном имени используются слова непристойного содержания или иные слова, противоречащие общественным интересам;</w:t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пользователем не предоставлены сведения и документы, запрошенные Регистратором в целях исполнения требований Правил.</w:t>
      </w:r>
    </w:p>
    <w:p w:rsidR="00000000" w:rsidDel="00000000" w:rsidP="00000000" w:rsidRDefault="00000000" w:rsidRPr="00000000" w14:paraId="00000054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Администраторы доменных имен второго уровня в зонах .RU, .РФ и .SU вправе </w:t>
      </w:r>
      <w:r w:rsidDel="00000000" w:rsidR="00000000" w:rsidRPr="00000000">
        <w:rPr>
          <w:b w:val="1"/>
          <w:sz w:val="22"/>
          <w:szCs w:val="22"/>
          <w:rtl w:val="0"/>
        </w:rPr>
        <w:t xml:space="preserve">продлевать срок регистрации доменных имен </w:t>
      </w:r>
      <w:r w:rsidDel="00000000" w:rsidR="00000000" w:rsidRPr="00000000">
        <w:rPr>
          <w:sz w:val="22"/>
          <w:szCs w:val="22"/>
          <w:rtl w:val="0"/>
        </w:rPr>
        <w:t xml:space="preserve">неограниченное количество раз. В результате продления регистрации доменного имени срок регистрации продлевается на 1 (один) год с даты окончания ранее установленного срока. Регистраторы исполняют заявки администраторов на продление регистрации доменных имен при условии выполнения требований, установленных Правилами и договором об оказании услуг.</w:t>
      </w:r>
    </w:p>
    <w:p w:rsidR="00000000" w:rsidDel="00000000" w:rsidP="00000000" w:rsidRDefault="00000000" w:rsidRPr="00000000" w14:paraId="00000056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Администратор может продлить срок регистрации домена заранее.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Продление доменных имен второго уровня в зонах .RU, .SU, .РФ становится доступным за 60 (шестьдесят) дней до окончания срока регистрации.</w:t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Для продления срока регистрации доменного имени администратору необходимо направить соответствующую заявку (оформить заказ), используя функционал сайта Регистратора, и оплатить услугу продления регистрации в соответствии с действующими тарифами.</w:t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Оплаченный заказ (заявка на продление срока регистрации) принимается к исполнению Регистратором и исполняется в течение 1 (одного) рабочего дня.</w:t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Если срок регистрации доменного имени не был продлен до его истечения, право направления заявки сохраняется за администратором в течение последующих 30 (тридцати) дней (период преимущественного продления).</w:t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Если регистрация доменного имени не была продлена, то по истечении периода преимущественного продления регистрация доменного имени аннулируется.</w:t>
      </w:r>
    </w:p>
    <w:p w:rsidR="00000000" w:rsidDel="00000000" w:rsidP="00000000" w:rsidRDefault="00000000" w:rsidRPr="00000000" w14:paraId="0000005C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В соответствии с положениями Правил, для пользователей/администраторов (клиентов Регистратора) всегда доступна возможность приобретения базовых услуг – а именно регистрации и продления регистрации доменного имени – без каких-либо дополнительных услуг. Стоимость данных базовых услуг приведена в размещенных в публичном доступе на веб-сайтах Регистраторов тарифах Регистраторов; приобретение дополнительных услуг (не связанных с услугами регистрации доменов либо комплиментарных им) осуществляется пользователями/администраторами в порядке, предусмотренном законодательством – при заказе тех или иных услуг согласно утвержденным тарифам, при приобретении пакетов услуг, при участии в стимулирующих акциях (правила проведения которых всегда открыто размещаются на сайтах Регистраторов) и т.д.</w:t>
      </w:r>
    </w:p>
    <w:p w:rsidR="00000000" w:rsidDel="00000000" w:rsidP="00000000" w:rsidRDefault="00000000" w:rsidRPr="00000000" w14:paraId="0000005E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Компании группы закрепили требования регламентирующих документов, регулирующих порядок регистрации и продления доменных имен в соответствующих договорах об оказании услуг, размещенных на официальных веб-сайтах Регистраторов в сети Интернет:</w:t>
      </w:r>
    </w:p>
    <w:p w:rsidR="00000000" w:rsidDel="00000000" w:rsidP="00000000" w:rsidRDefault="00000000" w:rsidRPr="00000000" w14:paraId="00000060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4"/>
        <w:gridCol w:w="2590"/>
        <w:gridCol w:w="6615"/>
        <w:tblGridChange w:id="0">
          <w:tblGrid>
            <w:gridCol w:w="424"/>
            <w:gridCol w:w="2590"/>
            <w:gridCol w:w="66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НАИМЕНОВАНИЕ, ИНН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ДОГОВОР ОБ ОКАЗАНИИ УСЛУГ, В Т.Ч. ПРИЛОЖЕНИЯ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0" w:hanging="36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АО «РСИЦ»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(ИНН 7733573894)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sz w:val="22"/>
                <w:szCs w:val="22"/>
              </w:rPr>
            </w:pPr>
            <w:hyperlink r:id="rId8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0"/>
                </w:rPr>
                <w:t xml:space="preserve">https://www.nic.ru/help/dogovor-ob-okazanii-uslug-(indeks-nic-d)_6097.html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0" w:hanging="36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ООО «Регистратор Р01»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(ИНН 7728365391)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0"/>
                </w:rPr>
                <w:t xml:space="preserve">https://help.r01.ru/documents/contract.html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0" w:hanging="36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ООО «СпейсВэб»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(ИНН 7813376370)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0"/>
                </w:rPr>
                <w:t xml:space="preserve">https://spacewebdomains.ru/contract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0" w:hanging="36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ООО «РЕГ.РУ Домены Хостинг» </w:t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(ИНН </w:t>
            </w:r>
            <w:r w:rsidDel="00000000" w:rsidR="00000000" w:rsidRPr="00000000">
              <w:rPr>
                <w:color w:val="202124"/>
                <w:sz w:val="22"/>
                <w:szCs w:val="22"/>
                <w:highlight w:val="white"/>
                <w:rtl w:val="0"/>
              </w:rPr>
              <w:t xml:space="preserve">6312068502);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0"/>
                </w:rPr>
                <w:t xml:space="preserve">http://www.regplanet.ru/docs/retail_offer.docx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0"/>
                </w:rPr>
                <w:t xml:space="preserve">http://www.regplanet.ru/docs/legal_entity.docx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https://www.reg.ru/legal/company3_oferta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0" w:hanging="36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ООО «Специальный регистратор доменных имен и почтовых сервисов»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(ИНН 7714666310)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http://personal-n.ru/aggreement/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0" w:hanging="36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ООО «Бестрег» 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(ИНН </w:t>
            </w:r>
            <w:r w:rsidDel="00000000" w:rsidR="00000000" w:rsidRPr="00000000">
              <w:rPr>
                <w:color w:val="202124"/>
                <w:sz w:val="22"/>
                <w:szCs w:val="22"/>
                <w:highlight w:val="white"/>
                <w:rtl w:val="0"/>
              </w:rPr>
              <w:t xml:space="preserve">6316268823)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https://www.bestreg24.ru/docs/retail_offer.pdf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0" w:hanging="36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ООО «Бигрег»</w:t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(ИНН </w:t>
            </w:r>
            <w:r w:rsidDel="00000000" w:rsidR="00000000" w:rsidRPr="00000000">
              <w:rPr>
                <w:color w:val="000000"/>
                <w:sz w:val="22"/>
                <w:szCs w:val="22"/>
                <w:highlight w:val="white"/>
                <w:rtl w:val="0"/>
              </w:rPr>
              <w:t xml:space="preserve">6316271463</w:t>
            </w:r>
            <w:r w:rsidDel="00000000" w:rsidR="00000000" w:rsidRPr="00000000">
              <w:rPr>
                <w:color w:val="555555"/>
                <w:sz w:val="22"/>
                <w:szCs w:val="22"/>
                <w:highlight w:val="whit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https://www.bigreg24.ru/docs/retail_offer.pdf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0" w:hanging="36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ООО «Вебрег» (ИНН </w:t>
            </w:r>
            <w:r w:rsidDel="00000000" w:rsidR="00000000" w:rsidRPr="00000000">
              <w:rPr>
                <w:color w:val="202124"/>
                <w:sz w:val="22"/>
                <w:szCs w:val="22"/>
                <w:highlight w:val="white"/>
                <w:rtl w:val="0"/>
              </w:rPr>
              <w:t xml:space="preserve">7714465815)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u w:val="single"/>
                <w:rtl w:val="0"/>
              </w:rPr>
              <w:t xml:space="preserve">https://webreg24.ru/docs/retail_offer.pdf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0" w:hanging="36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ООО «Доменхост» (ИНН </w:t>
            </w:r>
            <w:r w:rsidDel="00000000" w:rsidR="00000000" w:rsidRPr="00000000">
              <w:rPr>
                <w:color w:val="202124"/>
                <w:sz w:val="22"/>
                <w:szCs w:val="22"/>
                <w:highlight w:val="white"/>
                <w:rtl w:val="0"/>
              </w:rPr>
              <w:t xml:space="preserve">6316268710)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0"/>
                </w:rPr>
                <w:t xml:space="preserve">https://www.regdomainhost.ru/docs/retail_offer.pdf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0" w:hanging="36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ООО «Кликрег» </w:t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(ИНН </w:t>
            </w:r>
            <w:r w:rsidDel="00000000" w:rsidR="00000000" w:rsidRPr="00000000">
              <w:rPr>
                <w:color w:val="202124"/>
                <w:sz w:val="22"/>
                <w:szCs w:val="22"/>
                <w:highlight w:val="white"/>
                <w:rtl w:val="0"/>
              </w:rPr>
              <w:t xml:space="preserve">7714465822)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https://www.clickreg.ru/docs/retail_offer.pdf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0" w:hanging="36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ООО «Кликхост» (ИНН </w:t>
            </w:r>
            <w:r w:rsidDel="00000000" w:rsidR="00000000" w:rsidRPr="00000000">
              <w:rPr>
                <w:color w:val="202124"/>
                <w:sz w:val="22"/>
                <w:szCs w:val="22"/>
                <w:highlight w:val="white"/>
                <w:rtl w:val="0"/>
              </w:rPr>
              <w:t xml:space="preserve">7714465526)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u w:val="single"/>
                <w:rtl w:val="0"/>
              </w:rPr>
              <w:t xml:space="preserve">https://www.clickhost24.ru/docs/retail_offer.pdf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0" w:hanging="36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ООО «Опенрег» </w:t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(ИНН 6316268728)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0"/>
                </w:rPr>
                <w:t xml:space="preserve">https://www.open-reg.ru/docs/retail_offer.pdf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0" w:hanging="36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ООО «Примахост» (ИНН 7714465808)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u w:val="single"/>
                <w:rtl w:val="0"/>
              </w:rPr>
              <w:t xml:space="preserve">https://www.prima-host.ru/docs/retail_offer.pdf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0" w:hanging="36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ООО «Телехост»</w:t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(ИНН 6316271431)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0"/>
                </w:rPr>
                <w:t xml:space="preserve">https://www.telehost24.ru/docs/retail_offer.pdf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0" w:hanging="36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ООО «Доменсервис» (ИНН 6316265163)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https://www.domenservice.ru/docs/retail_offer.pdf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0" w:hanging="36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ООО «Телеборд» (ИНН 6316264956)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https://www.telebord24.ru/docs/retail_offer.pdf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0" w:hanging="36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ООО «Топдомен» (ИНН 6316264970)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sz w:val="20"/>
                <w:szCs w:val="20"/>
              </w:rPr>
            </w:pPr>
            <w:hyperlink r:id="rId2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https://www.topdomenreg24.ru/docs/retail_offer.pdf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0" w:hanging="36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АО «Система дата-центров» </w:t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(ИНН 7716830904)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sz w:val="20"/>
                <w:szCs w:val="20"/>
              </w:rPr>
            </w:pPr>
            <w:hyperlink r:id="rId24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0"/>
                </w:rPr>
                <w:t xml:space="preserve">http://telehouse.caravan.ru/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0" w:hanging="36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ООО «2ДОМЕЙНС.РУ» (ИНН </w:t>
            </w:r>
            <w:r w:rsidDel="00000000" w:rsidR="00000000" w:rsidRPr="00000000">
              <w:rPr>
                <w:color w:val="202124"/>
                <w:sz w:val="22"/>
                <w:szCs w:val="22"/>
                <w:highlight w:val="white"/>
                <w:rtl w:val="0"/>
              </w:rPr>
              <w:t xml:space="preserve">7714592700)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sz w:val="20"/>
                <w:szCs w:val="20"/>
              </w:rPr>
            </w:pPr>
            <w:hyperlink r:id="rId2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https://2domains.ru/help/offer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0" w:hanging="36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ООО «Регистратор доменных имен РЕГ.РУ» (ИНН 7733568767)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sz w:val="20"/>
                <w:szCs w:val="20"/>
              </w:rPr>
            </w:pPr>
            <w:hyperlink r:id="rId2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https://www.reg.ru/legal/retail_oferta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AD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ЗАКЛЮЧИТЕЛЬНЫЕ ПОЛОЖЕНИЯ</w:t>
      </w:r>
    </w:p>
    <w:p w:rsidR="00000000" w:rsidDel="00000000" w:rsidP="00000000" w:rsidRDefault="00000000" w:rsidRPr="00000000" w14:paraId="000000AF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Настоящие Условия являются локальным нормативным актом Общества долгосрочного действия, который утверждается приказом Генерального директора Общества.</w:t>
      </w:r>
    </w:p>
    <w:p w:rsidR="00000000" w:rsidDel="00000000" w:rsidP="00000000" w:rsidRDefault="00000000" w:rsidRPr="00000000" w14:paraId="000000B1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Настоящие Условия являются обязательными для исполнения всеми входящими в одну группу лиц с Обществом Регистраторами (о чем Регистраторами принимаются соответствующие приказы, являющиеся их локальными нормативными актами). Регистраторы обязаны обеспечивать соответствие договоров об оказании услуг и иных документов Регистраторов требованиям настоящих Условий и условиям Коммерческой политики.</w:t>
      </w:r>
    </w:p>
    <w:p w:rsidR="00000000" w:rsidDel="00000000" w:rsidP="00000000" w:rsidRDefault="00000000" w:rsidRPr="00000000" w14:paraId="000000B3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Общество может вносить изменения и дополнения в настоящие Условия в соответствии с изменениями законодательства Российской Федерации. Изменения и дополнения вносятся приказом Генерального директора Общества и не позднее 30 (тридцати) календарных дней направляются в Федеральную антимонопольную службу (ФАС России).</w:t>
      </w:r>
    </w:p>
    <w:p w:rsidR="00000000" w:rsidDel="00000000" w:rsidP="00000000" w:rsidRDefault="00000000" w:rsidRPr="00000000" w14:paraId="000000B5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Настоящие Условия, а также изменения к ним вступают в силу с даты, указанной в приказе об утверждении Условий (изменений к ним). Настоящие Условия, а также изменения к ним применяются к отношениям между Регистраторами и потребителями (клиентами Регистраторов), возникающими с даты вступления в силу Условий (изменений к ним).</w:t>
      </w:r>
    </w:p>
    <w:p w:rsidR="00000000" w:rsidDel="00000000" w:rsidP="00000000" w:rsidRDefault="00000000" w:rsidRPr="00000000" w14:paraId="000000B7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Контроль за соблюдением настоящих Условий возлагается на генерального директора Общества.</w:t>
      </w:r>
    </w:p>
    <w:p w:rsidR="00000000" w:rsidDel="00000000" w:rsidP="00000000" w:rsidRDefault="00000000" w:rsidRPr="00000000" w14:paraId="000000B9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Ответственность за выполнение требований настоящих Условий несут все сотрудники Общества и Регистраторов, к чьей компетенции относится оказание услуг регистрации и продления регистрации доменных имен второго уровня в зонах .RU, .РФ и .SU.</w:t>
      </w:r>
    </w:p>
    <w:p w:rsidR="00000000" w:rsidDel="00000000" w:rsidP="00000000" w:rsidRDefault="00000000" w:rsidRPr="00000000" w14:paraId="000000BB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Несоблюдение требований настоящих Условий может повлечь применение к сотруднику мер дисциплинарной ответственности в соответствии с внутренними актами Общества и соответствующего Регистратора, а также действующим трудовым законодательством Российской Федерации.</w:t>
      </w:r>
    </w:p>
    <w:p w:rsidR="00000000" w:rsidDel="00000000" w:rsidP="00000000" w:rsidRDefault="00000000" w:rsidRPr="00000000" w14:paraId="000000BD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Настоящие Условия подлежат публикации на официальном веб-сайте Общества и каждого из Регистраторов.</w:t>
      </w:r>
    </w:p>
    <w:sectPr>
      <w:headerReference r:id="rId27" w:type="default"/>
      <w:headerReference r:id="rId28" w:type="first"/>
      <w:headerReference r:id="rId29" w:type="even"/>
      <w:footerReference r:id="rId30" w:type="default"/>
      <w:footerReference r:id="rId31" w:type="first"/>
      <w:footerReference r:id="rId32" w:type="even"/>
      <w:pgSz w:h="16838" w:w="11906" w:orient="portrait"/>
      <w:pgMar w:bottom="851" w:top="1134" w:left="1418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BF">
      <w:pPr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 Автономная некоммерческая организация «Координационный центр национального домена сети Интернет», </w:t>
      </w:r>
      <w:hyperlink r:id="rId1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https://cctld.ru/</w:t>
        </w:r>
      </w:hyperlink>
      <w:r w:rsidDel="00000000" w:rsidR="00000000" w:rsidRPr="00000000">
        <w:rPr>
          <w:sz w:val="18"/>
          <w:szCs w:val="18"/>
          <w:rtl w:val="0"/>
        </w:rPr>
        <w:t xml:space="preserve">, Регламентирующие документы: </w:t>
      </w:r>
      <w:hyperlink r:id="rId2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https://cctld.ru/domains/docs/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</w:p>
  </w:footnote>
  <w:footnote w:id="1">
    <w:p w:rsidR="00000000" w:rsidDel="00000000" w:rsidP="00000000" w:rsidRDefault="00000000" w:rsidRPr="00000000" w14:paraId="000000C0">
      <w:pPr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 Автономная некоммерческая организация «Российский научно-исследовательский Институт развития общественных сетей», </w:t>
      </w:r>
      <w:hyperlink r:id="rId3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https://ripn.su/</w:t>
        </w:r>
      </w:hyperlink>
      <w:r w:rsidDel="00000000" w:rsidR="00000000" w:rsidRPr="00000000">
        <w:rPr>
          <w:sz w:val="18"/>
          <w:szCs w:val="18"/>
          <w:rtl w:val="0"/>
        </w:rPr>
        <w:t xml:space="preserve">, Регламентирующие документы: </w:t>
      </w:r>
      <w:hyperlink r:id="rId4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https://ripn.su/domen-su/kak-stat-registratorom/</w:t>
        </w:r>
      </w:hyperlink>
      <w:r w:rsidDel="00000000" w:rsidR="00000000" w:rsidRPr="00000000">
        <w:rPr>
          <w:sz w:val="18"/>
          <w:szCs w:val="18"/>
          <w:rtl w:val="0"/>
        </w:rPr>
        <w:t xml:space="preserve">  </w:t>
      </w:r>
    </w:p>
  </w:footnote>
  <w:footnote w:id="2">
    <w:p w:rsidR="00000000" w:rsidDel="00000000" w:rsidP="00000000" w:rsidRDefault="00000000" w:rsidRPr="00000000" w14:paraId="000000C1">
      <w:pPr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 Правила регистрации доменных имен в доменах .RU и .РФ, утверждены решением № 2011-18/81 от 05.10.2011 г. и размещены по адресу: </w:t>
      </w:r>
      <w:hyperlink r:id="rId5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https://cctld.ru/files/pdf/docs/rules_ru-rf.pdf</w:t>
        </w:r>
      </w:hyperlink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C2">
      <w:pPr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 Правила регистрации доменных имен в домене .SU, утверждены приказом № РОС-08/66 от 14.07.2020 г. и размещены по адресу: </w:t>
      </w:r>
      <w:hyperlink r:id="rId6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https://ripn.su/wp-content/uploads/rules_su.pdf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720" w:right="0" w:hanging="36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40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60" w:line="240" w:lineRule="auto"/>
      <w:ind w:left="2509" w:right="0" w:hanging="180"/>
      <w:jc w:val="both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60" w:line="240" w:lineRule="auto"/>
      <w:ind w:left="3229" w:right="0" w:hanging="36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60" w:line="240" w:lineRule="auto"/>
      <w:ind w:left="3949" w:right="0" w:hanging="360"/>
      <w:jc w:val="both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60" w:line="240" w:lineRule="auto"/>
      <w:ind w:left="4669" w:right="0" w:hanging="180"/>
      <w:jc w:val="both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a" w:default="1">
    <w:name w:val="Normal"/>
    <w:qFormat w:val="1"/>
    <w:rsid w:val="00644CF0"/>
  </w:style>
  <w:style w:type="paragraph" w:styleId="1">
    <w:name w:val="heading 1"/>
    <w:aliases w:val=" Знак1 Знак1,Знак1 Знак1"/>
    <w:next w:val="2"/>
    <w:link w:val="10"/>
    <w:uiPriority w:val="9"/>
    <w:qFormat w:val="1"/>
    <w:rsid w:val="00FF73E4"/>
    <w:pPr>
      <w:keepNext w:val="1"/>
      <w:numPr>
        <w:numId w:val="4"/>
      </w:numPr>
      <w:spacing w:after="120" w:before="360"/>
      <w:jc w:val="both"/>
      <w:outlineLvl w:val="0"/>
    </w:pPr>
    <w:rPr>
      <w:rFonts w:ascii="Arial" w:hAnsi="Arial"/>
      <w:b w:val="1"/>
      <w:sz w:val="32"/>
      <w:szCs w:val="20"/>
    </w:rPr>
  </w:style>
  <w:style w:type="paragraph" w:styleId="2">
    <w:name w:val="heading 2"/>
    <w:aliases w:val="Заголовок 2 Знак1,Заголовок 2 Знак Знак,Заголовок 2 Знак1 Знак1 Знак,Заголовок 2 Знак Знак Знак1 Знак,Заголовок 2 Знак2 Знак Знак Знак Знак,Заголовок 2 Знак1 Знак Знак Знак Знак Знак,Заголовок 2 Знак Знак Знак Знак Знак Знак Знак,B Sub/Bold"/>
    <w:link w:val="20"/>
    <w:uiPriority w:val="9"/>
    <w:semiHidden w:val="1"/>
    <w:unhideWhenUsed w:val="1"/>
    <w:qFormat w:val="1"/>
    <w:rsid w:val="00FF73E4"/>
    <w:pPr>
      <w:spacing w:before="120"/>
      <w:jc w:val="both"/>
      <w:outlineLvl w:val="1"/>
    </w:pPr>
    <w:rPr>
      <w:rFonts w:ascii="Arial" w:hAnsi="Arial"/>
      <w:b w:val="1"/>
      <w:szCs w:val="20"/>
    </w:rPr>
  </w:style>
  <w:style w:type="paragraph" w:styleId="3">
    <w:name w:val="heading 3"/>
    <w:aliases w:val=" Char,Char"/>
    <w:link w:val="30"/>
    <w:uiPriority w:val="9"/>
    <w:semiHidden w:val="1"/>
    <w:unhideWhenUsed w:val="1"/>
    <w:qFormat w:val="1"/>
    <w:rsid w:val="00FF73E4"/>
    <w:pPr>
      <w:numPr>
        <w:ilvl w:val="2"/>
        <w:numId w:val="4"/>
      </w:numPr>
      <w:spacing w:before="60"/>
      <w:ind w:left="2509" w:hanging="180"/>
      <w:jc w:val="both"/>
      <w:outlineLvl w:val="2"/>
    </w:pPr>
    <w:rPr>
      <w:rFonts w:ascii="Arial" w:hAnsi="Arial"/>
    </w:rPr>
  </w:style>
  <w:style w:type="paragraph" w:styleId="4">
    <w:name w:val="heading 4"/>
    <w:link w:val="40"/>
    <w:uiPriority w:val="9"/>
    <w:semiHidden w:val="1"/>
    <w:unhideWhenUsed w:val="1"/>
    <w:qFormat w:val="1"/>
    <w:rsid w:val="00FF73E4"/>
    <w:pPr>
      <w:numPr>
        <w:ilvl w:val="3"/>
        <w:numId w:val="4"/>
      </w:numPr>
      <w:spacing w:before="60"/>
      <w:ind w:left="3229"/>
      <w:jc w:val="both"/>
      <w:outlineLvl w:val="3"/>
    </w:pPr>
    <w:rPr>
      <w:rFonts w:ascii="Arial" w:hAnsi="Arial"/>
      <w:b w:val="1"/>
    </w:rPr>
  </w:style>
  <w:style w:type="paragraph" w:styleId="5">
    <w:name w:val="heading 5"/>
    <w:link w:val="50"/>
    <w:uiPriority w:val="9"/>
    <w:semiHidden w:val="1"/>
    <w:unhideWhenUsed w:val="1"/>
    <w:qFormat w:val="1"/>
    <w:rsid w:val="00FF73E4"/>
    <w:pPr>
      <w:numPr>
        <w:ilvl w:val="4"/>
        <w:numId w:val="4"/>
      </w:numPr>
      <w:spacing w:before="60"/>
      <w:ind w:left="3949"/>
      <w:jc w:val="both"/>
      <w:outlineLvl w:val="4"/>
    </w:pPr>
    <w:rPr>
      <w:rFonts w:ascii="Arial" w:cs="Arial" w:hAnsi="Arial"/>
    </w:rPr>
  </w:style>
  <w:style w:type="paragraph" w:styleId="6">
    <w:name w:val="heading 6"/>
    <w:link w:val="60"/>
    <w:uiPriority w:val="9"/>
    <w:semiHidden w:val="1"/>
    <w:unhideWhenUsed w:val="1"/>
    <w:qFormat w:val="1"/>
    <w:rsid w:val="00FF73E4"/>
    <w:pPr>
      <w:numPr>
        <w:ilvl w:val="5"/>
        <w:numId w:val="4"/>
      </w:numPr>
      <w:spacing w:before="60"/>
      <w:ind w:left="4669" w:hanging="180"/>
      <w:jc w:val="both"/>
      <w:outlineLvl w:val="5"/>
    </w:pPr>
    <w:rPr>
      <w:rFonts w:ascii="Arial" w:cs="Arial" w:hAnsi="Arial"/>
    </w:rPr>
  </w:style>
  <w:style w:type="paragraph" w:styleId="7">
    <w:name w:val="heading 7"/>
    <w:link w:val="70"/>
    <w:uiPriority w:val="99"/>
    <w:qFormat w:val="1"/>
    <w:rsid w:val="00FF73E4"/>
    <w:pPr>
      <w:numPr>
        <w:ilvl w:val="6"/>
        <w:numId w:val="4"/>
      </w:numPr>
      <w:spacing w:before="60"/>
      <w:ind w:left="5389"/>
      <w:jc w:val="both"/>
      <w:outlineLvl w:val="6"/>
    </w:pPr>
    <w:rPr>
      <w:rFonts w:ascii="Arial" w:cs="Arial" w:hAnsi="Arial"/>
    </w:rPr>
  </w:style>
  <w:style w:type="paragraph" w:styleId="8">
    <w:name w:val="heading 8"/>
    <w:link w:val="80"/>
    <w:uiPriority w:val="99"/>
    <w:qFormat w:val="1"/>
    <w:rsid w:val="00FF73E4"/>
    <w:pPr>
      <w:numPr>
        <w:ilvl w:val="7"/>
        <w:numId w:val="4"/>
      </w:numPr>
      <w:spacing w:before="60"/>
      <w:ind w:left="6109"/>
      <w:jc w:val="both"/>
      <w:outlineLvl w:val="7"/>
    </w:pPr>
    <w:rPr>
      <w:rFonts w:ascii="Arial" w:hAnsi="Arial"/>
      <w:szCs w:val="20"/>
    </w:rPr>
  </w:style>
  <w:style w:type="paragraph" w:styleId="9">
    <w:name w:val="heading 9"/>
    <w:link w:val="90"/>
    <w:uiPriority w:val="99"/>
    <w:qFormat w:val="1"/>
    <w:rsid w:val="00FF73E4"/>
    <w:pPr>
      <w:numPr>
        <w:ilvl w:val="8"/>
        <w:numId w:val="4"/>
      </w:numPr>
      <w:spacing w:before="60"/>
      <w:ind w:left="6829" w:hanging="180"/>
      <w:jc w:val="both"/>
      <w:outlineLvl w:val="8"/>
    </w:pPr>
    <w:rPr>
      <w:rFonts w:ascii="Arial" w:hAnsi="Arial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link w:val="a4"/>
    <w:uiPriority w:val="10"/>
    <w:qFormat w:val="1"/>
    <w:rsid w:val="00644CF0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5">
    <w:name w:val="Body Text"/>
    <w:link w:val="a6"/>
    <w:uiPriority w:val="99"/>
    <w:rsid w:val="00644CF0"/>
    <w:pPr>
      <w:tabs>
        <w:tab w:val="left" w:pos="284"/>
      </w:tabs>
      <w:spacing w:after="60" w:before="60"/>
      <w:ind w:left="284" w:firstLine="425"/>
      <w:jc w:val="both"/>
    </w:pPr>
    <w:rPr>
      <w:rFonts w:ascii="Arial" w:cs="Arial" w:hAnsi="Arial"/>
    </w:rPr>
  </w:style>
  <w:style w:type="character" w:styleId="a6" w:customStyle="1">
    <w:name w:val="Основной текст Знак"/>
    <w:basedOn w:val="a0"/>
    <w:link w:val="a5"/>
    <w:uiPriority w:val="99"/>
    <w:rsid w:val="00644CF0"/>
    <w:rPr>
      <w:rFonts w:ascii="Arial" w:cs="Arial" w:eastAsia="Times New Roman" w:hAnsi="Arial"/>
      <w:sz w:val="24"/>
      <w:szCs w:val="24"/>
    </w:rPr>
  </w:style>
  <w:style w:type="paragraph" w:styleId="a7" w:customStyle="1">
    <w:name w:val="Стиль Название + вправо"/>
    <w:basedOn w:val="a3"/>
    <w:rsid w:val="00644CF0"/>
    <w:pPr>
      <w:widowControl w:val="0"/>
      <w:spacing w:after="120" w:before="240"/>
      <w:contextualSpacing w:val="0"/>
      <w:jc w:val="right"/>
    </w:pPr>
    <w:rPr>
      <w:rFonts w:ascii="Arial" w:cs="Times New Roman" w:eastAsia="Times New Roman" w:hAnsi="Arial"/>
      <w:b w:val="1"/>
      <w:bCs w:val="1"/>
      <w:spacing w:val="0"/>
      <w:kern w:val="0"/>
      <w:sz w:val="36"/>
      <w:szCs w:val="20"/>
      <w:lang w:eastAsia="en-US"/>
    </w:rPr>
  </w:style>
  <w:style w:type="character" w:styleId="a4" w:customStyle="1">
    <w:name w:val="Заголовок Знак"/>
    <w:basedOn w:val="a0"/>
    <w:link w:val="a3"/>
    <w:uiPriority w:val="10"/>
    <w:rsid w:val="00644CF0"/>
    <w:rPr>
      <w:rFonts w:asciiTheme="majorHAnsi" w:cstheme="majorBidi" w:eastAsiaTheme="majorEastAsia" w:hAnsiTheme="majorHAnsi"/>
      <w:spacing w:val="-10"/>
      <w:kern w:val="28"/>
      <w:sz w:val="56"/>
      <w:szCs w:val="56"/>
      <w:lang w:eastAsia="ru-RU"/>
    </w:rPr>
  </w:style>
  <w:style w:type="paragraph" w:styleId="a8">
    <w:name w:val="List Paragraph"/>
    <w:aliases w:val="List numerotee"/>
    <w:basedOn w:val="a"/>
    <w:uiPriority w:val="34"/>
    <w:qFormat w:val="1"/>
    <w:rsid w:val="00156070"/>
    <w:pPr>
      <w:ind w:left="720"/>
      <w:contextualSpacing w:val="1"/>
    </w:pPr>
  </w:style>
  <w:style w:type="character" w:styleId="10" w:customStyle="1">
    <w:name w:val="Заголовок 1 Знак"/>
    <w:aliases w:val=" Знак1 Знак1 Знак,Знак1 Знак1 Знак"/>
    <w:basedOn w:val="a0"/>
    <w:link w:val="1"/>
    <w:rsid w:val="00FF73E4"/>
    <w:rPr>
      <w:rFonts w:ascii="Arial" w:cs="Times New Roman" w:eastAsia="Times New Roman" w:hAnsi="Arial"/>
      <w:b w:val="1"/>
      <w:sz w:val="32"/>
      <w:szCs w:val="20"/>
    </w:rPr>
  </w:style>
  <w:style w:type="character" w:styleId="20" w:customStyle="1">
    <w:name w:val="Заголовок 2 Знак"/>
    <w:aliases w:val="Заголовок 2 Знак1 Знак,Заголовок 2 Знак Знак Знак,Заголовок 2 Знак1 Знак1 Знак Знак,Заголовок 2 Знак Знак Знак1 Знак Знак,Заголовок 2 Знак2 Знак Знак Знак Знак Знак,Заголовок 2 Знак1 Знак Знак Знак Знак Знак Знак,B Sub/Bold Знак"/>
    <w:basedOn w:val="a0"/>
    <w:link w:val="2"/>
    <w:rsid w:val="00FF73E4"/>
    <w:rPr>
      <w:rFonts w:ascii="Arial" w:cs="Times New Roman" w:eastAsia="Times New Roman" w:hAnsi="Arial"/>
      <w:b w:val="1"/>
      <w:sz w:val="24"/>
      <w:szCs w:val="20"/>
    </w:rPr>
  </w:style>
  <w:style w:type="character" w:styleId="30" w:customStyle="1">
    <w:name w:val="Заголовок 3 Знак"/>
    <w:aliases w:val=" Char Знак,Char Знак"/>
    <w:basedOn w:val="a0"/>
    <w:link w:val="3"/>
    <w:rsid w:val="00FF73E4"/>
    <w:rPr>
      <w:rFonts w:ascii="Arial" w:cs="Times New Roman" w:eastAsia="Times New Roman" w:hAnsi="Arial"/>
      <w:sz w:val="24"/>
      <w:szCs w:val="24"/>
    </w:rPr>
  </w:style>
  <w:style w:type="character" w:styleId="40" w:customStyle="1">
    <w:name w:val="Заголовок 4 Знак"/>
    <w:basedOn w:val="a0"/>
    <w:link w:val="4"/>
    <w:uiPriority w:val="99"/>
    <w:rsid w:val="00FF73E4"/>
    <w:rPr>
      <w:rFonts w:ascii="Arial" w:cs="Times New Roman" w:eastAsia="Times New Roman" w:hAnsi="Arial"/>
      <w:b w:val="1"/>
      <w:sz w:val="24"/>
      <w:szCs w:val="24"/>
    </w:rPr>
  </w:style>
  <w:style w:type="character" w:styleId="50" w:customStyle="1">
    <w:name w:val="Заголовок 5 Знак"/>
    <w:basedOn w:val="a0"/>
    <w:link w:val="5"/>
    <w:uiPriority w:val="99"/>
    <w:rsid w:val="00FF73E4"/>
    <w:rPr>
      <w:rFonts w:ascii="Arial" w:cs="Arial" w:eastAsia="Times New Roman" w:hAnsi="Arial"/>
      <w:sz w:val="24"/>
      <w:szCs w:val="24"/>
    </w:rPr>
  </w:style>
  <w:style w:type="character" w:styleId="60" w:customStyle="1">
    <w:name w:val="Заголовок 6 Знак"/>
    <w:basedOn w:val="a0"/>
    <w:link w:val="6"/>
    <w:uiPriority w:val="99"/>
    <w:rsid w:val="00FF73E4"/>
    <w:rPr>
      <w:rFonts w:ascii="Arial" w:cs="Arial" w:eastAsia="Times New Roman" w:hAnsi="Arial"/>
      <w:sz w:val="24"/>
      <w:szCs w:val="24"/>
    </w:rPr>
  </w:style>
  <w:style w:type="character" w:styleId="70" w:customStyle="1">
    <w:name w:val="Заголовок 7 Знак"/>
    <w:basedOn w:val="a0"/>
    <w:link w:val="7"/>
    <w:uiPriority w:val="99"/>
    <w:rsid w:val="00FF73E4"/>
    <w:rPr>
      <w:rFonts w:ascii="Arial" w:cs="Arial" w:eastAsia="Times New Roman" w:hAnsi="Arial"/>
      <w:sz w:val="24"/>
      <w:szCs w:val="24"/>
    </w:rPr>
  </w:style>
  <w:style w:type="character" w:styleId="80" w:customStyle="1">
    <w:name w:val="Заголовок 8 Знак"/>
    <w:basedOn w:val="a0"/>
    <w:link w:val="8"/>
    <w:uiPriority w:val="99"/>
    <w:rsid w:val="00FF73E4"/>
    <w:rPr>
      <w:rFonts w:ascii="Arial" w:cs="Times New Roman" w:eastAsia="Times New Roman" w:hAnsi="Arial"/>
      <w:sz w:val="24"/>
      <w:szCs w:val="20"/>
    </w:rPr>
  </w:style>
  <w:style w:type="character" w:styleId="90" w:customStyle="1">
    <w:name w:val="Заголовок 9 Знак"/>
    <w:basedOn w:val="a0"/>
    <w:link w:val="9"/>
    <w:uiPriority w:val="99"/>
    <w:rsid w:val="00FF73E4"/>
    <w:rPr>
      <w:rFonts w:ascii="Arial" w:cs="Times New Roman" w:eastAsia="Times New Roman" w:hAnsi="Arial"/>
      <w:sz w:val="24"/>
      <w:szCs w:val="20"/>
    </w:rPr>
  </w:style>
  <w:style w:type="paragraph" w:styleId="a9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ac">
    <w:name w:val="Hyperlink"/>
    <w:basedOn w:val="a0"/>
    <w:uiPriority w:val="99"/>
    <w:unhideWhenUsed w:val="1"/>
    <w:rsid w:val="00057196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 w:val="1"/>
    <w:unhideWhenUsed w:val="1"/>
    <w:rsid w:val="00057196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 w:val="1"/>
    <w:unhideWhenUsed w:val="1"/>
    <w:rsid w:val="003050E1"/>
    <w:rPr>
      <w:color w:val="605e5c"/>
      <w:shd w:color="auto" w:fill="e1dfdd" w:val="clear"/>
    </w:rPr>
  </w:style>
  <w:style w:type="character" w:styleId="af">
    <w:name w:val="annotation reference"/>
    <w:basedOn w:val="a0"/>
    <w:uiPriority w:val="99"/>
    <w:semiHidden w:val="1"/>
    <w:unhideWhenUsed w:val="1"/>
    <w:rsid w:val="001307D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 w:val="1"/>
    <w:rsid w:val="001307DD"/>
    <w:rPr>
      <w:sz w:val="20"/>
      <w:szCs w:val="20"/>
    </w:rPr>
  </w:style>
  <w:style w:type="character" w:styleId="af1" w:customStyle="1">
    <w:name w:val="Текст примечания Знак"/>
    <w:basedOn w:val="a0"/>
    <w:link w:val="af0"/>
    <w:uiPriority w:val="99"/>
    <w:rsid w:val="001307D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 w:val="1"/>
    <w:unhideWhenUsed w:val="1"/>
    <w:rsid w:val="001307DD"/>
    <w:rPr>
      <w:b w:val="1"/>
      <w:bCs w:val="1"/>
    </w:rPr>
  </w:style>
  <w:style w:type="character" w:styleId="af3" w:customStyle="1">
    <w:name w:val="Тема примечания Знак"/>
    <w:basedOn w:val="af1"/>
    <w:link w:val="af2"/>
    <w:uiPriority w:val="99"/>
    <w:semiHidden w:val="1"/>
    <w:rsid w:val="001307DD"/>
    <w:rPr>
      <w:b w:val="1"/>
      <w:bCs w:val="1"/>
      <w:sz w:val="20"/>
      <w:szCs w:val="20"/>
    </w:rPr>
  </w:style>
  <w:style w:type="paragraph" w:styleId="af4">
    <w:name w:val="Revision"/>
    <w:hidden w:val="1"/>
    <w:uiPriority w:val="99"/>
    <w:semiHidden w:val="1"/>
    <w:rsid w:val="009B4D19"/>
  </w:style>
  <w:style w:type="table" w:styleId="af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f7">
    <w:name w:val="header"/>
    <w:basedOn w:val="a"/>
    <w:link w:val="af8"/>
    <w:uiPriority w:val="99"/>
    <w:unhideWhenUsed w:val="1"/>
    <w:rsid w:val="00115202"/>
    <w:pPr>
      <w:tabs>
        <w:tab w:val="center" w:pos="4677"/>
        <w:tab w:val="right" w:pos="9355"/>
      </w:tabs>
    </w:pPr>
  </w:style>
  <w:style w:type="character" w:styleId="af8" w:customStyle="1">
    <w:name w:val="Верхний колонтитул Знак"/>
    <w:basedOn w:val="a0"/>
    <w:link w:val="af7"/>
    <w:uiPriority w:val="99"/>
    <w:rsid w:val="00115202"/>
  </w:style>
  <w:style w:type="paragraph" w:styleId="af9">
    <w:name w:val="footer"/>
    <w:basedOn w:val="a"/>
    <w:link w:val="afa"/>
    <w:uiPriority w:val="99"/>
    <w:unhideWhenUsed w:val="1"/>
    <w:rsid w:val="00115202"/>
    <w:pPr>
      <w:tabs>
        <w:tab w:val="center" w:pos="4677"/>
        <w:tab w:val="right" w:pos="9355"/>
      </w:tabs>
    </w:pPr>
  </w:style>
  <w:style w:type="character" w:styleId="afa" w:customStyle="1">
    <w:name w:val="Нижний колонтитул Знак"/>
    <w:basedOn w:val="a0"/>
    <w:link w:val="af9"/>
    <w:uiPriority w:val="99"/>
    <w:rsid w:val="0011520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telehost24.ru/docs/retail_offer.pdf" TargetMode="External"/><Relationship Id="rId22" Type="http://schemas.openxmlformats.org/officeDocument/2006/relationships/hyperlink" Target="https://www.telebord24.ru/docs/retail_offer.pdf" TargetMode="External"/><Relationship Id="rId21" Type="http://schemas.openxmlformats.org/officeDocument/2006/relationships/hyperlink" Target="https://www.domenservice.ru/docs/retail_offer.pdf" TargetMode="External"/><Relationship Id="rId24" Type="http://schemas.openxmlformats.org/officeDocument/2006/relationships/hyperlink" Target="http://telehouse.caravan.ru/" TargetMode="External"/><Relationship Id="rId23" Type="http://schemas.openxmlformats.org/officeDocument/2006/relationships/hyperlink" Target="https://www.topdomenreg24.ru/docs/retail_offer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help.r01.ru/documents/contract.html" TargetMode="External"/><Relationship Id="rId26" Type="http://schemas.openxmlformats.org/officeDocument/2006/relationships/hyperlink" Target="https://www.reg.ru/legal/retail_oferta" TargetMode="External"/><Relationship Id="rId25" Type="http://schemas.openxmlformats.org/officeDocument/2006/relationships/hyperlink" Target="https://2domains.ru/help/offer" TargetMode="External"/><Relationship Id="rId28" Type="http://schemas.openxmlformats.org/officeDocument/2006/relationships/header" Target="header3.xml"/><Relationship Id="rId27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29" Type="http://schemas.openxmlformats.org/officeDocument/2006/relationships/header" Target="header2.xml"/><Relationship Id="rId7" Type="http://schemas.openxmlformats.org/officeDocument/2006/relationships/customXml" Target="../customXML/item1.xml"/><Relationship Id="rId8" Type="http://schemas.openxmlformats.org/officeDocument/2006/relationships/hyperlink" Target="https://www.nic.ru/help/dogovor-ob-okazanii-uslug-(indeks-nic-d)_6097.html" TargetMode="External"/><Relationship Id="rId31" Type="http://schemas.openxmlformats.org/officeDocument/2006/relationships/footer" Target="footer2.xml"/><Relationship Id="rId30" Type="http://schemas.openxmlformats.org/officeDocument/2006/relationships/footer" Target="footer3.xml"/><Relationship Id="rId11" Type="http://schemas.openxmlformats.org/officeDocument/2006/relationships/hyperlink" Target="http://www.regplanet.ru/docs/retail_offer.docx" TargetMode="External"/><Relationship Id="rId10" Type="http://schemas.openxmlformats.org/officeDocument/2006/relationships/hyperlink" Target="https://spacewebdomains.ru/contract" TargetMode="External"/><Relationship Id="rId32" Type="http://schemas.openxmlformats.org/officeDocument/2006/relationships/footer" Target="footer1.xml"/><Relationship Id="rId13" Type="http://schemas.openxmlformats.org/officeDocument/2006/relationships/hyperlink" Target="https://www.reg.ru/legal/company3_oferta" TargetMode="External"/><Relationship Id="rId12" Type="http://schemas.openxmlformats.org/officeDocument/2006/relationships/hyperlink" Target="http://www.regplanet.ru/docs/legal_entity.docx" TargetMode="External"/><Relationship Id="rId15" Type="http://schemas.openxmlformats.org/officeDocument/2006/relationships/hyperlink" Target="https://www.bestreg24.ru/docs/retail_offer.pdf" TargetMode="External"/><Relationship Id="rId14" Type="http://schemas.openxmlformats.org/officeDocument/2006/relationships/hyperlink" Target="http://personal-n.ru/aggreement/" TargetMode="External"/><Relationship Id="rId17" Type="http://schemas.openxmlformats.org/officeDocument/2006/relationships/hyperlink" Target="https://www.regdomainhost.ru/docs/retail_offer.pdf" TargetMode="External"/><Relationship Id="rId16" Type="http://schemas.openxmlformats.org/officeDocument/2006/relationships/hyperlink" Target="https://www.bigreg24.ru/docs/retail_offer.pdf" TargetMode="External"/><Relationship Id="rId19" Type="http://schemas.openxmlformats.org/officeDocument/2006/relationships/hyperlink" Target="https://www.open-reg.ru/docs/retail_offer.pdf" TargetMode="External"/><Relationship Id="rId18" Type="http://schemas.openxmlformats.org/officeDocument/2006/relationships/hyperlink" Target="https://www.clickreg.ru/docs/retail_offer.pdf" TargetMode="Externa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cctld.ru/" TargetMode="External"/><Relationship Id="rId2" Type="http://schemas.openxmlformats.org/officeDocument/2006/relationships/hyperlink" Target="https://cctld.ru/domains/docs/" TargetMode="External"/><Relationship Id="rId3" Type="http://schemas.openxmlformats.org/officeDocument/2006/relationships/hyperlink" Target="https://ripn.su/" TargetMode="External"/><Relationship Id="rId4" Type="http://schemas.openxmlformats.org/officeDocument/2006/relationships/hyperlink" Target="https://ripn.su/domen-su/kak-stat-registratorom/" TargetMode="External"/><Relationship Id="rId5" Type="http://schemas.openxmlformats.org/officeDocument/2006/relationships/hyperlink" Target="https://cctld.ru/files/pdf/docs/rules_ru-rf.pdf" TargetMode="External"/><Relationship Id="rId6" Type="http://schemas.openxmlformats.org/officeDocument/2006/relationships/hyperlink" Target="https://ripn.su/wp-content/uploads/rules_s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VLNWahJIegrezpDPtQZROCnacw==">AMUW2mXONJYvw4hITgEqbl5e3hHaRDBh4qKD+b+6aJ5NblbW17eioDwIf4V7N6MP97mx2pxuAeGW/HshUkxEezNdVj8Srs18IB+0P6uDt+K/lF3JQySVtL+aGJgA5WETnme7UrH9FE245RIIVJ9Y3lelbscY3w32UUWzcuzy+uCB77id5CMwa46PfDlgCYZjZgU1Oc6R322l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2021-12-09T13:49:00Z</dcterms:created>
  <dc:creator>Dzhan Chelenk</dc:creator>
</cp:coreProperties>
</file>